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EE544E" w:rsidRPr="003E639D" w:rsidTr="005D1A09">
        <w:tc>
          <w:tcPr>
            <w:tcW w:w="9242" w:type="dxa"/>
            <w:tcMar>
              <w:top w:w="108" w:type="dxa"/>
              <w:bottom w:w="108" w:type="dxa"/>
            </w:tcMar>
          </w:tcPr>
          <w:p w:rsidR="00EE544E" w:rsidRPr="003E639D" w:rsidRDefault="000657E7" w:rsidP="003E639D">
            <w:pPr>
              <w:pStyle w:val="Heading1"/>
            </w:pPr>
            <w:r>
              <w:t>Growth Deal</w:t>
            </w:r>
            <w:r w:rsidR="00577E97">
              <w:t xml:space="preserve"> </w:t>
            </w:r>
            <w:r w:rsidR="005B647F">
              <w:t>P</w:t>
            </w:r>
            <w:r w:rsidR="00577E97">
              <w:t>rogramme</w:t>
            </w:r>
            <w:r w:rsidR="005B647F">
              <w:t xml:space="preserve"> </w:t>
            </w:r>
          </w:p>
          <w:p w:rsidR="00EE544E" w:rsidRPr="003E639D" w:rsidRDefault="00EE544E" w:rsidP="005D1A09">
            <w:pPr>
              <w:rPr>
                <w:rFonts w:cs="Arial"/>
                <w:b/>
              </w:rPr>
            </w:pPr>
          </w:p>
          <w:p w:rsidR="00EE544E" w:rsidRPr="00A63F1D" w:rsidRDefault="00EE544E" w:rsidP="005D1A09">
            <w:pPr>
              <w:rPr>
                <w:rFonts w:cs="Arial"/>
                <w:sz w:val="24"/>
                <w:szCs w:val="24"/>
              </w:rPr>
            </w:pPr>
            <w:r w:rsidRPr="00A63F1D">
              <w:rPr>
                <w:rFonts w:cs="Arial"/>
                <w:sz w:val="24"/>
                <w:szCs w:val="24"/>
              </w:rPr>
              <w:t xml:space="preserve">Report to the </w:t>
            </w:r>
            <w:r w:rsidR="00427088" w:rsidRPr="00A63F1D">
              <w:rPr>
                <w:rFonts w:cs="Arial"/>
                <w:sz w:val="24"/>
                <w:szCs w:val="24"/>
              </w:rPr>
              <w:t>Investment &amp; Regulation</w:t>
            </w:r>
            <w:r w:rsidR="00F6176A" w:rsidRPr="00A63F1D">
              <w:rPr>
                <w:rFonts w:cs="Arial"/>
                <w:sz w:val="24"/>
                <w:szCs w:val="24"/>
              </w:rPr>
              <w:t xml:space="preserve"> </w:t>
            </w:r>
            <w:r w:rsidR="004F768F" w:rsidRPr="00A63F1D">
              <w:rPr>
                <w:rFonts w:cs="Arial"/>
                <w:sz w:val="24"/>
                <w:szCs w:val="24"/>
              </w:rPr>
              <w:t xml:space="preserve">Board, </w:t>
            </w:r>
            <w:r w:rsidR="00B16AF0" w:rsidRPr="00A63F1D">
              <w:rPr>
                <w:rFonts w:cs="Arial"/>
                <w:sz w:val="24"/>
                <w:szCs w:val="24"/>
              </w:rPr>
              <w:t>2 September</w:t>
            </w:r>
            <w:r w:rsidR="00F6176A" w:rsidRPr="00A63F1D">
              <w:rPr>
                <w:rFonts w:cs="Arial"/>
                <w:sz w:val="24"/>
                <w:szCs w:val="24"/>
              </w:rPr>
              <w:t xml:space="preserve"> 2016</w:t>
            </w:r>
          </w:p>
          <w:p w:rsidR="00EE544E" w:rsidRPr="003E639D" w:rsidRDefault="00EE544E" w:rsidP="000657E7">
            <w:pPr>
              <w:rPr>
                <w:rFonts w:cs="Arial"/>
              </w:rPr>
            </w:pPr>
            <w:r w:rsidRPr="00A63F1D">
              <w:rPr>
                <w:rFonts w:cs="Arial"/>
                <w:sz w:val="24"/>
                <w:szCs w:val="24"/>
              </w:rPr>
              <w:t>Report from Richard Kendall, Executive Director – Strategic Policy &amp; Business Development</w:t>
            </w:r>
            <w:r w:rsidR="002B79B7">
              <w:rPr>
                <w:rFonts w:cs="Arial"/>
                <w:sz w:val="24"/>
                <w:szCs w:val="24"/>
              </w:rPr>
              <w:t>, Humber LEP</w:t>
            </w:r>
          </w:p>
        </w:tc>
      </w:tr>
    </w:tbl>
    <w:p w:rsidR="00EE544E" w:rsidRPr="00A63F1D" w:rsidRDefault="00EE544E" w:rsidP="001C398C">
      <w:pPr>
        <w:pStyle w:val="Heading2"/>
        <w:numPr>
          <w:ilvl w:val="0"/>
          <w:numId w:val="2"/>
        </w:numPr>
        <w:rPr>
          <w:sz w:val="24"/>
        </w:rPr>
      </w:pPr>
      <w:r w:rsidRPr="00A63F1D">
        <w:rPr>
          <w:sz w:val="24"/>
        </w:rPr>
        <w:t>Summary</w:t>
      </w:r>
    </w:p>
    <w:p w:rsidR="00EE544E" w:rsidRPr="00A63F1D" w:rsidRDefault="00EE544E" w:rsidP="001C398C">
      <w:pPr>
        <w:pStyle w:val="Reporttext"/>
        <w:rPr>
          <w:rFonts w:cs="Arial"/>
          <w:sz w:val="24"/>
          <w:szCs w:val="24"/>
        </w:rPr>
      </w:pPr>
      <w:r w:rsidRPr="00A63F1D">
        <w:rPr>
          <w:rFonts w:cs="Arial"/>
          <w:sz w:val="24"/>
          <w:szCs w:val="24"/>
        </w:rPr>
        <w:t>This paper</w:t>
      </w:r>
      <w:r w:rsidR="000657E7" w:rsidRPr="00A63F1D">
        <w:rPr>
          <w:rFonts w:cs="Arial"/>
          <w:sz w:val="24"/>
          <w:szCs w:val="24"/>
        </w:rPr>
        <w:t xml:space="preserve"> updates the </w:t>
      </w:r>
      <w:r w:rsidR="00516B35" w:rsidRPr="00A63F1D">
        <w:rPr>
          <w:rFonts w:cs="Arial"/>
          <w:sz w:val="24"/>
          <w:szCs w:val="24"/>
        </w:rPr>
        <w:t xml:space="preserve">Investment &amp; Regulation </w:t>
      </w:r>
      <w:r w:rsidR="000657E7" w:rsidRPr="00A63F1D">
        <w:rPr>
          <w:rFonts w:cs="Arial"/>
          <w:sz w:val="24"/>
          <w:szCs w:val="24"/>
        </w:rPr>
        <w:t xml:space="preserve">Board on </w:t>
      </w:r>
      <w:r w:rsidR="00B16AF0" w:rsidRPr="00A63F1D">
        <w:rPr>
          <w:rFonts w:cs="Arial"/>
          <w:sz w:val="24"/>
          <w:szCs w:val="24"/>
        </w:rPr>
        <w:t>progress</w:t>
      </w:r>
      <w:r w:rsidR="004055AF" w:rsidRPr="00A63F1D">
        <w:rPr>
          <w:rFonts w:cs="Arial"/>
          <w:sz w:val="24"/>
          <w:szCs w:val="24"/>
        </w:rPr>
        <w:t xml:space="preserve"> with the Growth Deal programme</w:t>
      </w:r>
      <w:r w:rsidRPr="00A63F1D">
        <w:rPr>
          <w:rFonts w:cs="Arial"/>
          <w:sz w:val="24"/>
          <w:szCs w:val="24"/>
        </w:rPr>
        <w:t>.</w:t>
      </w:r>
    </w:p>
    <w:p w:rsidR="00EE544E" w:rsidRPr="00A63F1D" w:rsidRDefault="00EE544E" w:rsidP="001C398C">
      <w:pPr>
        <w:pStyle w:val="Heading2"/>
        <w:numPr>
          <w:ilvl w:val="0"/>
          <w:numId w:val="2"/>
        </w:numPr>
        <w:rPr>
          <w:sz w:val="24"/>
        </w:rPr>
      </w:pPr>
      <w:r w:rsidRPr="00A63F1D">
        <w:rPr>
          <w:sz w:val="24"/>
        </w:rPr>
        <w:t>Recommendations</w:t>
      </w:r>
    </w:p>
    <w:p w:rsidR="004E4831" w:rsidRPr="00A63F1D" w:rsidRDefault="004E4831" w:rsidP="004E4831">
      <w:pPr>
        <w:pStyle w:val="Reporttext"/>
        <w:rPr>
          <w:sz w:val="24"/>
          <w:szCs w:val="24"/>
        </w:rPr>
      </w:pPr>
      <w:r w:rsidRPr="00A63F1D">
        <w:rPr>
          <w:sz w:val="24"/>
          <w:szCs w:val="24"/>
        </w:rPr>
        <w:t xml:space="preserve">That the Investment &amp; Regulation Board </w:t>
      </w:r>
      <w:r w:rsidR="00B16AF0" w:rsidRPr="00A63F1D">
        <w:rPr>
          <w:sz w:val="24"/>
          <w:szCs w:val="24"/>
        </w:rPr>
        <w:t>notes the report.</w:t>
      </w:r>
    </w:p>
    <w:p w:rsidR="000657E7" w:rsidRPr="00A63F1D" w:rsidRDefault="000657E7" w:rsidP="000657E7">
      <w:pPr>
        <w:pStyle w:val="Reporttex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Implementation summary</w:t>
      </w:r>
    </w:p>
    <w:p w:rsidR="000657E7" w:rsidRPr="00A63F1D" w:rsidRDefault="000657E7" w:rsidP="000657E7">
      <w:pPr>
        <w:pStyle w:val="Reporttext"/>
        <w:rPr>
          <w:sz w:val="24"/>
          <w:szCs w:val="24"/>
        </w:rPr>
      </w:pPr>
      <w:r w:rsidRPr="00A63F1D">
        <w:rPr>
          <w:sz w:val="24"/>
          <w:szCs w:val="24"/>
        </w:rPr>
        <w:t>The latest implementation summary is included at Appendix 1.</w:t>
      </w:r>
      <w:r w:rsidR="00B16AF0" w:rsidRPr="00A63F1D">
        <w:rPr>
          <w:sz w:val="24"/>
          <w:szCs w:val="24"/>
        </w:rPr>
        <w:t xml:space="preserve">  Updates are provided below on an exception basis:</w:t>
      </w:r>
    </w:p>
    <w:p w:rsidR="00B16AF0" w:rsidRPr="00A63F1D" w:rsidRDefault="00B16AF0" w:rsidP="000657E7">
      <w:pPr>
        <w:pStyle w:val="Reporttext"/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South Humber Gauge Enhancement</w:t>
      </w:r>
    </w:p>
    <w:p w:rsidR="00B16AF0" w:rsidRPr="00A63F1D" w:rsidRDefault="00B16AF0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>Confirmation has been given that Network Rail will provide the funding to meet the increased costs of the project, so as per the Investment &amp; Regulation Board’s recommendations (agreed by the LEP Board) the project r</w:t>
      </w:r>
      <w:bookmarkStart w:id="0" w:name="_GoBack"/>
      <w:bookmarkEnd w:id="0"/>
      <w:r w:rsidRPr="00A63F1D">
        <w:rPr>
          <w:sz w:val="24"/>
          <w:szCs w:val="24"/>
        </w:rPr>
        <w:t>emains in the programme subject to the outstanding conditions being satisfied.  North Lincolnshire Council and Network Rail are working towards these.</w:t>
      </w:r>
    </w:p>
    <w:p w:rsidR="00B16AF0" w:rsidRPr="00A63F1D" w:rsidRDefault="00B16AF0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>Given that the project’s funding allocation is £5.055m in 2016/17, progress will need to be made quickly and this will be monitored.</w:t>
      </w:r>
    </w:p>
    <w:p w:rsidR="00B16AF0" w:rsidRPr="00A63F1D" w:rsidRDefault="00B16AF0" w:rsidP="000657E7">
      <w:pPr>
        <w:pStyle w:val="Reporttext"/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Hull &amp; Holderness Flood Alleviation Scheme</w:t>
      </w:r>
    </w:p>
    <w:p w:rsidR="00B16AF0" w:rsidRPr="00A63F1D" w:rsidRDefault="00B16AF0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 xml:space="preserve">The project is forecasting </w:t>
      </w:r>
      <w:proofErr w:type="gramStart"/>
      <w:r w:rsidRPr="00A63F1D">
        <w:rPr>
          <w:sz w:val="24"/>
          <w:szCs w:val="24"/>
        </w:rPr>
        <w:t xml:space="preserve">an </w:t>
      </w:r>
      <w:proofErr w:type="spellStart"/>
      <w:r w:rsidRPr="00A63F1D">
        <w:rPr>
          <w:sz w:val="24"/>
          <w:szCs w:val="24"/>
        </w:rPr>
        <w:t>underspend</w:t>
      </w:r>
      <w:proofErr w:type="spellEnd"/>
      <w:proofErr w:type="gramEnd"/>
      <w:r w:rsidRPr="00A63F1D">
        <w:rPr>
          <w:sz w:val="24"/>
          <w:szCs w:val="24"/>
        </w:rPr>
        <w:t xml:space="preserve"> of £354k in 2016/17, and has requested to move this to 2017/18.  </w:t>
      </w:r>
      <w:r w:rsidR="001D0301" w:rsidRPr="00A63F1D">
        <w:rPr>
          <w:sz w:val="24"/>
          <w:szCs w:val="24"/>
        </w:rPr>
        <w:t>F</w:t>
      </w:r>
      <w:r w:rsidRPr="00A63F1D">
        <w:rPr>
          <w:sz w:val="24"/>
          <w:szCs w:val="24"/>
        </w:rPr>
        <w:t>urther information has been sought.</w:t>
      </w:r>
    </w:p>
    <w:p w:rsidR="00B16AF0" w:rsidRPr="00A63F1D" w:rsidRDefault="00B16AF0" w:rsidP="000657E7">
      <w:pPr>
        <w:pStyle w:val="Reporttext"/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Lincolnshire Lakes Flood Risk Strategy</w:t>
      </w:r>
    </w:p>
    <w:p w:rsidR="00B16AF0" w:rsidRPr="00A63F1D" w:rsidRDefault="00B16AF0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 xml:space="preserve">The project is forecasting </w:t>
      </w:r>
      <w:proofErr w:type="gramStart"/>
      <w:r w:rsidRPr="00A63F1D">
        <w:rPr>
          <w:sz w:val="24"/>
          <w:szCs w:val="24"/>
        </w:rPr>
        <w:t xml:space="preserve">an </w:t>
      </w:r>
      <w:proofErr w:type="spellStart"/>
      <w:r w:rsidRPr="00A63F1D">
        <w:rPr>
          <w:sz w:val="24"/>
          <w:szCs w:val="24"/>
        </w:rPr>
        <w:t>underspend</w:t>
      </w:r>
      <w:proofErr w:type="spellEnd"/>
      <w:proofErr w:type="gramEnd"/>
      <w:r w:rsidRPr="00A63F1D">
        <w:rPr>
          <w:sz w:val="24"/>
          <w:szCs w:val="24"/>
        </w:rPr>
        <w:t xml:space="preserve"> </w:t>
      </w:r>
      <w:r w:rsidR="00F96E4E" w:rsidRPr="00A63F1D">
        <w:rPr>
          <w:sz w:val="24"/>
          <w:szCs w:val="24"/>
        </w:rPr>
        <w:t>of approximately £10</w:t>
      </w:r>
      <w:r w:rsidR="001D0301" w:rsidRPr="00A63F1D">
        <w:rPr>
          <w:sz w:val="24"/>
          <w:szCs w:val="24"/>
        </w:rPr>
        <w:t xml:space="preserve">0k </w:t>
      </w:r>
      <w:r w:rsidRPr="00A63F1D">
        <w:rPr>
          <w:sz w:val="24"/>
          <w:szCs w:val="24"/>
        </w:rPr>
        <w:t>in 2016/17 due to a delay</w:t>
      </w:r>
      <w:r w:rsidR="001D0301" w:rsidRPr="00A63F1D">
        <w:rPr>
          <w:sz w:val="24"/>
          <w:szCs w:val="24"/>
        </w:rPr>
        <w:t xml:space="preserve"> in the start of construction.  Further information has been sought.</w:t>
      </w:r>
    </w:p>
    <w:p w:rsidR="00B16AF0" w:rsidRPr="00A63F1D" w:rsidRDefault="00B16AF0" w:rsidP="000657E7">
      <w:pPr>
        <w:pStyle w:val="Reporttext"/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Hull-East Coast Main Line Rail Electrification</w:t>
      </w:r>
    </w:p>
    <w:p w:rsidR="00CF00D6" w:rsidRPr="00A63F1D" w:rsidRDefault="00B16AF0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>The LEP and Hull City Council continue to seek clarity from the Department for Transport on the future of this project</w:t>
      </w:r>
      <w:r w:rsidR="00CF00D6" w:rsidRPr="00A63F1D">
        <w:rPr>
          <w:sz w:val="24"/>
          <w:szCs w:val="24"/>
        </w:rPr>
        <w:t>.  A decision from DfT on the project’s business case, which had been due by May, is still awaited</w:t>
      </w:r>
      <w:r w:rsidRPr="00A63F1D">
        <w:rPr>
          <w:sz w:val="24"/>
          <w:szCs w:val="24"/>
        </w:rPr>
        <w:t>.</w:t>
      </w:r>
    </w:p>
    <w:p w:rsidR="00B16AF0" w:rsidRPr="00A63F1D" w:rsidRDefault="00B16AF0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 xml:space="preserve">£1.5m LGF is allocated in 2016/17, with £6m </w:t>
      </w:r>
      <w:r w:rsidR="00516B35" w:rsidRPr="00A63F1D">
        <w:rPr>
          <w:sz w:val="24"/>
          <w:szCs w:val="24"/>
        </w:rPr>
        <w:t>split evenly</w:t>
      </w:r>
      <w:r w:rsidRPr="00A63F1D">
        <w:rPr>
          <w:sz w:val="24"/>
          <w:szCs w:val="24"/>
        </w:rPr>
        <w:t xml:space="preserve"> over the following two years.  </w:t>
      </w:r>
      <w:r w:rsidR="00DC7D3B" w:rsidRPr="00A63F1D">
        <w:rPr>
          <w:sz w:val="24"/>
          <w:szCs w:val="24"/>
        </w:rPr>
        <w:t xml:space="preserve">At this point, half way through the financial year, it </w:t>
      </w:r>
      <w:r w:rsidR="00DC7D3B" w:rsidRPr="00A63F1D">
        <w:rPr>
          <w:sz w:val="24"/>
          <w:szCs w:val="24"/>
        </w:rPr>
        <w:lastRenderedPageBreak/>
        <w:t>appears increasingly unlikely that the project will spend its</w:t>
      </w:r>
      <w:r w:rsidR="00516B35" w:rsidRPr="00A63F1D">
        <w:rPr>
          <w:sz w:val="24"/>
          <w:szCs w:val="24"/>
        </w:rPr>
        <w:t xml:space="preserve"> 2016/17</w:t>
      </w:r>
      <w:r w:rsidR="00DC7D3B" w:rsidRPr="00A63F1D">
        <w:rPr>
          <w:sz w:val="24"/>
          <w:szCs w:val="24"/>
        </w:rPr>
        <w:t xml:space="preserve"> allocation.</w:t>
      </w:r>
      <w:r w:rsidR="00CF00D6" w:rsidRPr="00A63F1D">
        <w:rPr>
          <w:sz w:val="24"/>
          <w:szCs w:val="24"/>
        </w:rPr>
        <w:t xml:space="preserve">  However, the uncertainty arising from the lack of information on whether or not the project will go ahead makes managing the spend profile difficult.</w:t>
      </w:r>
    </w:p>
    <w:p w:rsidR="00DC7D3B" w:rsidRPr="00A63F1D" w:rsidRDefault="00DC7D3B" w:rsidP="004055AF">
      <w:pPr>
        <w:pStyle w:val="Reporttext"/>
        <w:keepNext/>
        <w:keepLines/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Programme expenditure</w:t>
      </w:r>
    </w:p>
    <w:p w:rsidR="00516B35" w:rsidRPr="00A63F1D" w:rsidRDefault="00DC7D3B" w:rsidP="004055AF">
      <w:pPr>
        <w:pStyle w:val="Reporttext"/>
        <w:keepNext/>
        <w:keepLines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 xml:space="preserve">The LEP is expected to </w:t>
      </w:r>
      <w:r w:rsidR="00C234F5" w:rsidRPr="00A63F1D">
        <w:rPr>
          <w:sz w:val="24"/>
          <w:szCs w:val="24"/>
        </w:rPr>
        <w:t>achieve</w:t>
      </w:r>
      <w:r w:rsidRPr="00A63F1D">
        <w:rPr>
          <w:sz w:val="24"/>
          <w:szCs w:val="24"/>
        </w:rPr>
        <w:t xml:space="preserve"> full expenditure of LGF each year, and any underperformance </w:t>
      </w:r>
      <w:r w:rsidR="004055AF" w:rsidRPr="00A63F1D">
        <w:rPr>
          <w:sz w:val="24"/>
          <w:szCs w:val="24"/>
        </w:rPr>
        <w:t>may</w:t>
      </w:r>
      <w:r w:rsidRPr="00A63F1D">
        <w:rPr>
          <w:sz w:val="24"/>
          <w:szCs w:val="24"/>
        </w:rPr>
        <w:t xml:space="preserve"> affect future allocations.</w:t>
      </w:r>
    </w:p>
    <w:p w:rsidR="00DC7D3B" w:rsidRPr="00A63F1D" w:rsidRDefault="00DC7D3B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>As reported previously, 2016/17 is the peak of the current LGF programme with £40m due to be spent, compared to £20m next year and smaller amounts thereafter.</w:t>
      </w:r>
      <w:r w:rsidR="00516B35" w:rsidRPr="00A63F1D">
        <w:rPr>
          <w:sz w:val="24"/>
          <w:szCs w:val="24"/>
        </w:rPr>
        <w:t xml:space="preserve">  </w:t>
      </w:r>
      <w:r w:rsidRPr="00A63F1D">
        <w:rPr>
          <w:sz w:val="24"/>
          <w:szCs w:val="24"/>
        </w:rPr>
        <w:t>There is very little potential for bringing forward expenditure from later in the programme</w:t>
      </w:r>
      <w:r w:rsidR="00BA5FD4" w:rsidRPr="00A63F1D">
        <w:rPr>
          <w:sz w:val="24"/>
          <w:szCs w:val="24"/>
        </w:rPr>
        <w:t xml:space="preserve"> to cover any </w:t>
      </w:r>
      <w:proofErr w:type="spellStart"/>
      <w:r w:rsidR="00BA5FD4" w:rsidRPr="00A63F1D">
        <w:rPr>
          <w:sz w:val="24"/>
          <w:szCs w:val="24"/>
        </w:rPr>
        <w:t>underspend</w:t>
      </w:r>
      <w:proofErr w:type="spellEnd"/>
      <w:r w:rsidR="00BA5FD4" w:rsidRPr="00A63F1D">
        <w:rPr>
          <w:sz w:val="24"/>
          <w:szCs w:val="24"/>
        </w:rPr>
        <w:t xml:space="preserve"> this year.</w:t>
      </w:r>
    </w:p>
    <w:p w:rsidR="00DC7D3B" w:rsidRPr="00A63F1D" w:rsidRDefault="00516B35" w:rsidP="00DC7D3B">
      <w:pPr>
        <w:pStyle w:val="Reporttext"/>
        <w:numPr>
          <w:ilvl w:val="2"/>
          <w:numId w:val="2"/>
        </w:numPr>
        <w:rPr>
          <w:sz w:val="24"/>
          <w:szCs w:val="24"/>
        </w:rPr>
      </w:pPr>
      <w:r w:rsidRPr="00A63F1D">
        <w:rPr>
          <w:sz w:val="24"/>
          <w:szCs w:val="24"/>
        </w:rPr>
        <w:t xml:space="preserve">Project sponsors </w:t>
      </w:r>
      <w:r w:rsidR="005823F9" w:rsidRPr="00A63F1D">
        <w:rPr>
          <w:sz w:val="24"/>
          <w:szCs w:val="24"/>
        </w:rPr>
        <w:t>are aware</w:t>
      </w:r>
      <w:r w:rsidRPr="00A63F1D">
        <w:rPr>
          <w:sz w:val="24"/>
          <w:szCs w:val="24"/>
        </w:rPr>
        <w:t xml:space="preserve"> that failing to meet </w:t>
      </w:r>
      <w:r w:rsidR="005823F9" w:rsidRPr="00A63F1D">
        <w:rPr>
          <w:sz w:val="24"/>
          <w:szCs w:val="24"/>
        </w:rPr>
        <w:t>their agreed</w:t>
      </w:r>
      <w:r w:rsidRPr="00A63F1D">
        <w:rPr>
          <w:sz w:val="24"/>
          <w:szCs w:val="24"/>
        </w:rPr>
        <w:t xml:space="preserve"> annual spend targets would put their funding at risk</w:t>
      </w:r>
      <w:r w:rsidR="005823F9" w:rsidRPr="00A63F1D">
        <w:rPr>
          <w:sz w:val="24"/>
          <w:szCs w:val="24"/>
        </w:rPr>
        <w:t>.</w:t>
      </w:r>
      <w:r w:rsidR="00CF00D6" w:rsidRPr="00A63F1D">
        <w:rPr>
          <w:sz w:val="24"/>
          <w:szCs w:val="24"/>
        </w:rPr>
        <w:t xml:space="preserve">  The LEP Executive continues to work with project sponsors to manage the funding </w:t>
      </w:r>
      <w:r w:rsidR="001D0301" w:rsidRPr="00A63F1D">
        <w:rPr>
          <w:sz w:val="24"/>
          <w:szCs w:val="24"/>
        </w:rPr>
        <w:t>profile</w:t>
      </w:r>
      <w:r w:rsidR="00CF00D6" w:rsidRPr="00A63F1D">
        <w:rPr>
          <w:sz w:val="24"/>
          <w:szCs w:val="24"/>
        </w:rPr>
        <w:t>.</w:t>
      </w:r>
    </w:p>
    <w:p w:rsidR="008B3765" w:rsidRPr="00A63F1D" w:rsidRDefault="008B3765" w:rsidP="008B3765">
      <w:pPr>
        <w:pStyle w:val="Reporttex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63F1D">
        <w:rPr>
          <w:b/>
          <w:sz w:val="24"/>
          <w:szCs w:val="24"/>
          <w:u w:val="single"/>
        </w:rPr>
        <w:t>Proposal for a further Growth Deal</w:t>
      </w:r>
    </w:p>
    <w:p w:rsidR="008B3765" w:rsidRPr="00A63F1D" w:rsidRDefault="00577E97" w:rsidP="008B3765">
      <w:pPr>
        <w:pStyle w:val="Reporttext"/>
        <w:rPr>
          <w:sz w:val="24"/>
          <w:szCs w:val="24"/>
        </w:rPr>
      </w:pPr>
      <w:r w:rsidRPr="00A63F1D">
        <w:rPr>
          <w:sz w:val="24"/>
          <w:szCs w:val="24"/>
        </w:rPr>
        <w:t xml:space="preserve">The proposal for a further Growth Deal was submitted on 28 July.  The outcome is expected </w:t>
      </w:r>
      <w:r w:rsidR="001D0301" w:rsidRPr="00A63F1D">
        <w:rPr>
          <w:sz w:val="24"/>
          <w:szCs w:val="24"/>
        </w:rPr>
        <w:t>later this year</w:t>
      </w:r>
      <w:r w:rsidRPr="00A63F1D">
        <w:rPr>
          <w:sz w:val="24"/>
          <w:szCs w:val="24"/>
        </w:rPr>
        <w:t>.</w:t>
      </w:r>
    </w:p>
    <w:p w:rsidR="00F75DED" w:rsidRPr="00A63F1D" w:rsidRDefault="00F75DED" w:rsidP="00F75DED">
      <w:pPr>
        <w:pStyle w:val="Reporttext"/>
        <w:numPr>
          <w:ilvl w:val="0"/>
          <w:numId w:val="0"/>
        </w:numPr>
        <w:ind w:left="792" w:hanging="432"/>
        <w:rPr>
          <w:sz w:val="24"/>
          <w:szCs w:val="24"/>
        </w:rPr>
      </w:pPr>
    </w:p>
    <w:p w:rsidR="00F75DED" w:rsidRPr="002D3F2A" w:rsidRDefault="00F75DED" w:rsidP="00F75DED">
      <w:pPr>
        <w:pStyle w:val="Reporttext"/>
        <w:numPr>
          <w:ilvl w:val="0"/>
          <w:numId w:val="0"/>
        </w:numPr>
        <w:ind w:left="792" w:hanging="432"/>
        <w:sectPr w:rsidR="00F75DED" w:rsidRPr="002D3F2A" w:rsidSect="00F409D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0301" w:rsidRDefault="001D0301" w:rsidP="001D0301">
      <w:pPr>
        <w:rPr>
          <w:b/>
          <w:u w:val="single"/>
        </w:rPr>
      </w:pPr>
      <w:r>
        <w:rPr>
          <w:b/>
          <w:u w:val="single"/>
        </w:rPr>
        <w:lastRenderedPageBreak/>
        <w:t xml:space="preserve">Appendix 1: </w:t>
      </w:r>
      <w:r w:rsidRPr="00962876">
        <w:rPr>
          <w:b/>
          <w:u w:val="single"/>
        </w:rPr>
        <w:t xml:space="preserve">Growth Deal projects update – </w:t>
      </w:r>
      <w:r>
        <w:rPr>
          <w:b/>
          <w:u w:val="single"/>
        </w:rPr>
        <w:t>August 2016</w:t>
      </w:r>
    </w:p>
    <w:p w:rsidR="001D0301" w:rsidRDefault="001D0301" w:rsidP="001D0301">
      <w:pPr>
        <w:rPr>
          <w:b/>
          <w:u w:val="single"/>
        </w:rPr>
      </w:pPr>
    </w:p>
    <w:p w:rsidR="001D0301" w:rsidRDefault="001D0301" w:rsidP="001D0301">
      <w:pPr>
        <w:rPr>
          <w:b/>
          <w:u w:val="single"/>
        </w:rPr>
      </w:pPr>
      <w:r>
        <w:rPr>
          <w:b/>
          <w:u w:val="single"/>
        </w:rPr>
        <w:t>Approved projects in delivery</w:t>
      </w:r>
    </w:p>
    <w:p w:rsidR="001D0301" w:rsidRDefault="001D0301" w:rsidP="001D0301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1D0301" w:rsidTr="00213404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21" w:type="dxa"/>
              <w:tblLook w:val="04A0"/>
            </w:tblPr>
            <w:tblGrid>
              <w:gridCol w:w="3652"/>
              <w:gridCol w:w="992"/>
              <w:gridCol w:w="851"/>
              <w:gridCol w:w="283"/>
              <w:gridCol w:w="426"/>
              <w:gridCol w:w="425"/>
              <w:gridCol w:w="425"/>
              <w:gridCol w:w="567"/>
            </w:tblGrid>
            <w:tr w:rsidR="001D0301" w:rsidRPr="00E32EC6" w:rsidTr="00213404">
              <w:trPr>
                <w:trHeight w:val="275"/>
              </w:trPr>
              <w:tc>
                <w:tcPr>
                  <w:tcW w:w="3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Scheme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Default="001D0301" w:rsidP="0021340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£m LGF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center"/>
                  <w:hideMark/>
                </w:tcPr>
                <w:p w:rsidR="001D0301" w:rsidRPr="000813A5" w:rsidRDefault="001D0301" w:rsidP="0021340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</w:pPr>
                  <w:r w:rsidRPr="000813A5"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  <w:t>Project status</w:t>
                  </w:r>
                </w:p>
              </w:tc>
            </w:tr>
            <w:tr w:rsidR="001D0301" w:rsidRPr="00E32EC6" w:rsidTr="00213404">
              <w:trPr>
                <w:trHeight w:val="278"/>
              </w:trPr>
              <w:tc>
                <w:tcPr>
                  <w:tcW w:w="36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16/17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center"/>
                  <w:hideMark/>
                </w:tcPr>
                <w:p w:rsidR="001D0301" w:rsidRPr="000813A5" w:rsidRDefault="001D0301" w:rsidP="0021340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</w:pPr>
                  <w:r w:rsidRPr="000813A5"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  <w:t>16/17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center"/>
                  <w:hideMark/>
                </w:tcPr>
                <w:p w:rsidR="001D0301" w:rsidRPr="000813A5" w:rsidRDefault="001D0301" w:rsidP="0021340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</w:pPr>
                  <w:r w:rsidRPr="000813A5"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  <w:t>Overall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Grimsby Town Centre Infrastructure &amp; Enabling Works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1.48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Growing the Humber+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2.94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4.00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Delivering Housing Growth in Hull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6.33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10.00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CATCH Energy Offshore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1.25</w:t>
                  </w: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1.75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Goole College Skills Workshop Modernisation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0.00</w:t>
                  </w: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0.38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Environmental Logistics Learning Hub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2.05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Hull and Holderness Flood Alleviation Scheme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1.30  </w:t>
                  </w:r>
                  <w:r w:rsidRPr="00EE0C6E">
                    <w:rPr>
                      <w:rFonts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↓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3.00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1D0301" w:rsidRPr="004B5744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4B5744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Anlaby and East Ella Flood Alleviation Scheme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</w:t>
                  </w:r>
                  <w:r w:rsidRPr="00DD13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.10</w:t>
                  </w: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</w:tr>
          </w:tbl>
          <w:p w:rsidR="001D0301" w:rsidRDefault="001D0301" w:rsidP="00213404">
            <w:pPr>
              <w:pStyle w:val="NoSpacing"/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21" w:type="dxa"/>
              <w:tblLook w:val="04A0"/>
            </w:tblPr>
            <w:tblGrid>
              <w:gridCol w:w="3652"/>
              <w:gridCol w:w="992"/>
              <w:gridCol w:w="851"/>
              <w:gridCol w:w="283"/>
              <w:gridCol w:w="426"/>
              <w:gridCol w:w="425"/>
              <w:gridCol w:w="425"/>
              <w:gridCol w:w="567"/>
            </w:tblGrid>
            <w:tr w:rsidR="001D0301" w:rsidRPr="000813A5" w:rsidTr="00213404">
              <w:trPr>
                <w:trHeight w:val="275"/>
              </w:trPr>
              <w:tc>
                <w:tcPr>
                  <w:tcW w:w="3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Scheme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Default="001D0301" w:rsidP="0021340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£m LGF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center"/>
                  <w:hideMark/>
                </w:tcPr>
                <w:p w:rsidR="001D0301" w:rsidRPr="000813A5" w:rsidRDefault="001D0301" w:rsidP="0021340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</w:pPr>
                  <w:r w:rsidRPr="000813A5"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  <w:t>Project status</w:t>
                  </w:r>
                </w:p>
              </w:tc>
            </w:tr>
            <w:tr w:rsidR="001D0301" w:rsidRPr="000813A5" w:rsidTr="00213404">
              <w:trPr>
                <w:trHeight w:val="278"/>
              </w:trPr>
              <w:tc>
                <w:tcPr>
                  <w:tcW w:w="36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16/17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center"/>
                  <w:hideMark/>
                </w:tcPr>
                <w:p w:rsidR="001D0301" w:rsidRPr="000813A5" w:rsidRDefault="001D0301" w:rsidP="0021340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</w:pPr>
                  <w:r w:rsidRPr="000813A5"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  <w:t>16/17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center"/>
                  <w:hideMark/>
                </w:tcPr>
                <w:p w:rsidR="001D0301" w:rsidRPr="000813A5" w:rsidRDefault="001D0301" w:rsidP="0021340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</w:pPr>
                  <w:r w:rsidRPr="000813A5">
                    <w:rPr>
                      <w:rFonts w:cs="Arial"/>
                      <w:b/>
                      <w:sz w:val="20"/>
                      <w:szCs w:val="20"/>
                      <w:lang w:eastAsia="en-GB"/>
                    </w:rPr>
                    <w:t>Overall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Lincolnshire Lakes Flood Risk Strategy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3.00</w:t>
                  </w: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EE0C6E">
                    <w:rPr>
                      <w:rFonts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↓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13.32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1D0301" w:rsidRPr="00650D5B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650D5B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Bridlington ITP Phase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4.09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5.75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South Humber Rail Gauge Enhancement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5.06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7.20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1D0301" w:rsidRPr="000B517B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noWrap/>
                  <w:vAlign w:val="center"/>
                  <w:hideMark/>
                </w:tcPr>
                <w:p w:rsidR="001D0301" w:rsidRPr="00571E18" w:rsidRDefault="001D0301" w:rsidP="00213404">
                  <w:pPr>
                    <w:jc w:val="left"/>
                    <w:rPr>
                      <w:rFonts w:cs="Arial"/>
                      <w:color w:val="943634" w:themeColor="accent2" w:themeShade="BF"/>
                      <w:sz w:val="20"/>
                      <w:szCs w:val="20"/>
                      <w:lang w:eastAsia="en-GB"/>
                    </w:rPr>
                  </w:pPr>
                  <w:r w:rsidRPr="00571E18">
                    <w:rPr>
                      <w:rFonts w:cs="Arial"/>
                      <w:color w:val="943634" w:themeColor="accent2" w:themeShade="BF"/>
                      <w:sz w:val="20"/>
                      <w:szCs w:val="20"/>
                      <w:lang w:eastAsia="en-GB"/>
                    </w:rPr>
                    <w:t>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1D0301" w:rsidRPr="000B517B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0B517B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noWrap/>
                  <w:vAlign w:val="center"/>
                  <w:hideMark/>
                </w:tcPr>
                <w:p w:rsidR="001D0301" w:rsidRPr="00571E18" w:rsidRDefault="001D0301" w:rsidP="00213404">
                  <w:pPr>
                    <w:jc w:val="left"/>
                    <w:rPr>
                      <w:rFonts w:cs="Arial"/>
                      <w:color w:val="943634" w:themeColor="accent2" w:themeShade="BF"/>
                      <w:sz w:val="20"/>
                      <w:szCs w:val="20"/>
                      <w:lang w:eastAsia="en-GB"/>
                    </w:rPr>
                  </w:pPr>
                  <w:r w:rsidRPr="00571E18">
                    <w:rPr>
                      <w:rFonts w:cs="Arial"/>
                      <w:color w:val="943634" w:themeColor="accent2" w:themeShade="BF"/>
                      <w:sz w:val="20"/>
                      <w:szCs w:val="20"/>
                      <w:lang w:eastAsia="en-GB"/>
                    </w:rPr>
                    <w:t>R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Humberside Airport Access Improvements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1.48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  <w:r w:rsidRPr="00E32EC6"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Re-purposing the Old Town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3.00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A161 Bridge Street cycle scheme, Goole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0.16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1D0301" w:rsidRPr="004B5744" w:rsidRDefault="001D0301" w:rsidP="00213404">
                  <w:pPr>
                    <w:jc w:val="left"/>
                    <w:rPr>
                      <w:rFonts w:cs="Arial"/>
                      <w:color w:val="9BBB59" w:themeColor="accent3"/>
                      <w:sz w:val="20"/>
                      <w:szCs w:val="20"/>
                      <w:lang w:eastAsia="en-GB"/>
                    </w:rPr>
                  </w:pPr>
                  <w:r w:rsidRPr="004B5744">
                    <w:rPr>
                      <w:rFonts w:cs="Arial"/>
                      <w:color w:val="9BBB59" w:themeColor="accent3"/>
                      <w:sz w:val="20"/>
                      <w:szCs w:val="20"/>
                      <w:lang w:eastAsia="en-GB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7B4111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A1105 Anlaby Road Corridor/ Park Street Bridge Strengthening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301" w:rsidRPr="00E32EC6" w:rsidTr="00213404">
              <w:trPr>
                <w:trHeight w:val="600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0301" w:rsidRPr="007B4111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465045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Westcli</w:t>
                  </w: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ff</w:t>
                  </w:r>
                  <w:proofErr w:type="spellEnd"/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 Regeneration Enterprise Hub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FFC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</w:tcPr>
                <w:p w:rsidR="001D0301" w:rsidRPr="00E32EC6" w:rsidRDefault="001D0301" w:rsidP="00213404">
                  <w:pPr>
                    <w:jc w:val="left"/>
                    <w:rPr>
                      <w:rFonts w:cs="Arial"/>
                      <w:color w:val="9BBB59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D0301" w:rsidRDefault="001D0301" w:rsidP="00213404">
            <w:pPr>
              <w:rPr>
                <w:b/>
                <w:u w:val="single"/>
              </w:rPr>
            </w:pPr>
          </w:p>
        </w:tc>
      </w:tr>
    </w:tbl>
    <w:p w:rsidR="001D0301" w:rsidRDefault="001D0301" w:rsidP="001D0301">
      <w:pPr>
        <w:rPr>
          <w:b/>
          <w:u w:val="single"/>
        </w:rPr>
      </w:pPr>
    </w:p>
    <w:p w:rsidR="001D0301" w:rsidRDefault="001D0301" w:rsidP="001D0301">
      <w:pPr>
        <w:rPr>
          <w:b/>
          <w:u w:val="single"/>
        </w:rPr>
      </w:pPr>
      <w:r>
        <w:rPr>
          <w:b/>
          <w:u w:val="single"/>
        </w:rPr>
        <w:t>Committed projects</w:t>
      </w:r>
    </w:p>
    <w:p w:rsidR="001D0301" w:rsidRDefault="001D0301" w:rsidP="001D0301">
      <w:pPr>
        <w:rPr>
          <w:b/>
          <w:u w:val="single"/>
        </w:rPr>
      </w:pPr>
    </w:p>
    <w:tbl>
      <w:tblPr>
        <w:tblW w:w="15628" w:type="dxa"/>
        <w:tblLayout w:type="fixed"/>
        <w:tblLook w:val="04A0"/>
      </w:tblPr>
      <w:tblGrid>
        <w:gridCol w:w="250"/>
        <w:gridCol w:w="3686"/>
        <w:gridCol w:w="992"/>
        <w:gridCol w:w="850"/>
        <w:gridCol w:w="1276"/>
        <w:gridCol w:w="851"/>
        <w:gridCol w:w="850"/>
        <w:gridCol w:w="709"/>
        <w:gridCol w:w="850"/>
        <w:gridCol w:w="997"/>
        <w:gridCol w:w="1250"/>
        <w:gridCol w:w="995"/>
        <w:gridCol w:w="236"/>
        <w:gridCol w:w="470"/>
        <w:gridCol w:w="470"/>
        <w:gridCol w:w="448"/>
        <w:gridCol w:w="448"/>
      </w:tblGrid>
      <w:tr w:rsidR="001D0301" w:rsidRPr="00E32EC6" w:rsidTr="00213404">
        <w:trPr>
          <w:trHeight w:val="300"/>
          <w:tblHeader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Scheme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LGF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Business case submitted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Peer review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Approvals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Funding agreement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Delivery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Project status</w:t>
            </w:r>
          </w:p>
        </w:tc>
      </w:tr>
      <w:tr w:rsidR="001D0301" w:rsidRPr="00E32EC6" w:rsidTr="00213404">
        <w:trPr>
          <w:trHeight w:val="300"/>
          <w:tblHeader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Sub-board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HLB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LEP Board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Final issued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Started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/1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D0301" w:rsidRPr="00E32EC6" w:rsidRDefault="001D0301" w:rsidP="002134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Overall</w:t>
            </w:r>
          </w:p>
        </w:tc>
      </w:tr>
      <w:tr w:rsidR="001D0301" w:rsidRPr="00E32EC6" w:rsidTr="00213404">
        <w:trPr>
          <w:trHeight w:val="34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D9263E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263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Round 1 projects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Rail Electrification – Hull to East Coast Main 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7.50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3735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53735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953735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53735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953735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3735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53735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953735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53735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953735"/>
                <w:sz w:val="20"/>
                <w:szCs w:val="20"/>
                <w:lang w:eastAsia="en-GB"/>
              </w:rPr>
              <w:t>R</w:t>
            </w: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Connecting the City - Bridge over A63 at Hull Marina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301" w:rsidRPr="0098464A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301" w:rsidRPr="0098464A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1D0301" w:rsidRPr="00C6794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C6794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D0301" w:rsidRPr="00C6794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C6794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1F3550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3550">
              <w:rPr>
                <w:b/>
                <w:sz w:val="20"/>
              </w:rPr>
              <w:lastRenderedPageBreak/>
              <w:t>Hessle Foreshore Tidal Defence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C6794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0.5</w:t>
            </w:r>
            <w:r w:rsidRPr="00C67941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C6794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941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Expected summer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B958CB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B958CB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0301" w:rsidRPr="00B958CB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B958CB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1F3550" w:rsidRDefault="001D0301" w:rsidP="00213404">
            <w:pPr>
              <w:jc w:val="left"/>
              <w:rPr>
                <w:rFonts w:cs="Arial"/>
                <w:color w:val="9BBB59" w:themeColor="accent3"/>
                <w:sz w:val="20"/>
                <w:szCs w:val="20"/>
                <w:lang w:eastAsia="en-GB"/>
              </w:rPr>
            </w:pPr>
            <w:r w:rsidRPr="001F3550">
              <w:rPr>
                <w:rFonts w:cs="Arial"/>
                <w:color w:val="9BBB59" w:themeColor="accent3"/>
                <w:sz w:val="20"/>
                <w:szCs w:val="20"/>
                <w:lang w:eastAsia="en-GB"/>
              </w:rPr>
              <w:t>G</w:t>
            </w: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Cottingham</w:t>
            </w:r>
            <w:proofErr w:type="spellEnd"/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Orchard Park Flood Alleviation Scheme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93</w:t>
            </w: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5.00</w:t>
            </w: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 </w:t>
            </w:r>
            <w:r w:rsidRPr="008B2484">
              <w:rPr>
                <w:rFonts w:ascii="Wingdings" w:hAnsi="Wingdings" w:cs="Arial"/>
                <w:color w:val="000000"/>
                <w:sz w:val="20"/>
                <w:szCs w:val="20"/>
                <w:shd w:val="clear" w:color="auto" w:fill="9BBB59" w:themeFill="accent3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1D0301" w:rsidRPr="00754703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  <w:r w:rsidRPr="00B958CB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1D0301" w:rsidRPr="00754703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  <w:r w:rsidRPr="00B958CB">
              <w:rPr>
                <w:rFonts w:cs="Arial"/>
                <w:color w:val="9BBB59" w:themeColor="accent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</w:tr>
      <w:tr w:rsidR="001D0301" w:rsidRPr="00E32EC6" w:rsidTr="00213404">
        <w:trPr>
          <w:trHeight w:val="300"/>
        </w:trPr>
        <w:tc>
          <w:tcPr>
            <w:tcW w:w="135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301" w:rsidRPr="00DF766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River Hull Integrated Catchment Strategy: Delivery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301" w:rsidRPr="0098464A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301" w:rsidRPr="0098464A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408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1476ED" w:rsidRDefault="001D0301" w:rsidP="00213404">
            <w:pPr>
              <w:jc w:val="left"/>
              <w:rPr>
                <w:b/>
                <w:sz w:val="20"/>
              </w:rPr>
            </w:pPr>
            <w:r w:rsidRPr="001476ED">
              <w:rPr>
                <w:b/>
                <w:sz w:val="20"/>
              </w:rPr>
              <w:t>River Hull Channel Improvements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398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1476ED" w:rsidRDefault="001D0301" w:rsidP="00213404">
            <w:pPr>
              <w:jc w:val="left"/>
              <w:rPr>
                <w:b/>
                <w:sz w:val="20"/>
              </w:rPr>
            </w:pPr>
            <w:proofErr w:type="spellStart"/>
            <w:r w:rsidRPr="001476ED">
              <w:rPr>
                <w:b/>
                <w:sz w:val="20"/>
              </w:rPr>
              <w:t>Hempholme</w:t>
            </w:r>
            <w:proofErr w:type="spellEnd"/>
            <w:r w:rsidRPr="001476ED">
              <w:rPr>
                <w:b/>
                <w:sz w:val="20"/>
              </w:rPr>
              <w:t xml:space="preserve"> and </w:t>
            </w:r>
            <w:proofErr w:type="spellStart"/>
            <w:r w:rsidRPr="001476ED">
              <w:rPr>
                <w:b/>
                <w:sz w:val="20"/>
              </w:rPr>
              <w:t>Wilfholme</w:t>
            </w:r>
            <w:proofErr w:type="spellEnd"/>
            <w:r w:rsidRPr="001476ED">
              <w:rPr>
                <w:b/>
                <w:sz w:val="20"/>
              </w:rPr>
              <w:t xml:space="preserve"> Pumping Stations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362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1476ED" w:rsidRDefault="001D0301" w:rsidP="00213404">
            <w:pPr>
              <w:jc w:val="left"/>
              <w:rPr>
                <w:b/>
                <w:sz w:val="20"/>
              </w:rPr>
            </w:pPr>
            <w:r w:rsidRPr="001476ED">
              <w:rPr>
                <w:b/>
                <w:sz w:val="20"/>
              </w:rPr>
              <w:t>Hull Tidal Barrier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426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1476ED" w:rsidRDefault="001D0301" w:rsidP="00213404">
            <w:pPr>
              <w:jc w:val="left"/>
              <w:rPr>
                <w:b/>
                <w:sz w:val="20"/>
              </w:rPr>
            </w:pPr>
            <w:r w:rsidRPr="001476ED">
              <w:rPr>
                <w:b/>
                <w:sz w:val="20"/>
              </w:rPr>
              <w:t>Holderness Drain FAS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B958CB">
              <w:rPr>
                <w:rFonts w:cs="Arial"/>
                <w:color w:val="9BBB59" w:themeColor="accent3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B958CB">
              <w:rPr>
                <w:rFonts w:cs="Arial"/>
                <w:color w:val="9BBB59" w:themeColor="accent3"/>
                <w:sz w:val="20"/>
                <w:szCs w:val="20"/>
                <w:lang w:eastAsia="en-GB"/>
              </w:rPr>
              <w:t>G</w:t>
            </w:r>
          </w:p>
        </w:tc>
      </w:tr>
      <w:tr w:rsidR="001D0301" w:rsidRPr="00E32EC6" w:rsidTr="00213404">
        <w:trPr>
          <w:trHeight w:val="404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1476ED" w:rsidRDefault="001D0301" w:rsidP="00213404">
            <w:pPr>
              <w:jc w:val="left"/>
              <w:rPr>
                <w:b/>
                <w:sz w:val="20"/>
              </w:rPr>
            </w:pPr>
            <w:r w:rsidRPr="001476ED">
              <w:rPr>
                <w:b/>
                <w:sz w:val="20"/>
              </w:rPr>
              <w:t>River Hull Navigation Authority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409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1476ED" w:rsidRDefault="001D0301" w:rsidP="00213404">
            <w:pPr>
              <w:jc w:val="left"/>
              <w:rPr>
                <w:b/>
                <w:sz w:val="20"/>
              </w:rPr>
            </w:pPr>
            <w:r w:rsidRPr="001476ED">
              <w:rPr>
                <w:b/>
                <w:sz w:val="20"/>
              </w:rPr>
              <w:t>Connecting R</w:t>
            </w:r>
            <w:r>
              <w:rPr>
                <w:b/>
                <w:sz w:val="20"/>
              </w:rPr>
              <w:t xml:space="preserve">iver </w:t>
            </w:r>
            <w:r w:rsidRPr="001476ED">
              <w:rPr>
                <w:b/>
                <w:sz w:val="20"/>
              </w:rPr>
              <w:t>Hull Waterfront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301" w:rsidRPr="0098464A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301" w:rsidRPr="0098464A" w:rsidRDefault="001D0301" w:rsidP="00213404">
            <w:pPr>
              <w:jc w:val="left"/>
              <w:rPr>
                <w:rFonts w:cs="Arial"/>
                <w:color w:val="943634" w:themeColor="accent2" w:themeShade="BF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30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D9263E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9263E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Round 2 projects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301" w:rsidRPr="00E32EC6" w:rsidRDefault="001D0301" w:rsidP="00213404">
            <w:pPr>
              <w:jc w:val="righ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42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465045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A18</w:t>
            </w:r>
            <w:r w:rsidRPr="00465045">
              <w:rPr>
                <w:rFonts w:cs="Arial"/>
                <w:b/>
                <w:color w:val="000000"/>
                <w:sz w:val="20"/>
                <w:szCs w:val="20"/>
              </w:rPr>
              <w:t xml:space="preserve"> Melton Ross Railway Bridge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372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465045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5045">
              <w:rPr>
                <w:rFonts w:cs="Arial"/>
                <w:b/>
                <w:color w:val="000000"/>
                <w:sz w:val="20"/>
                <w:szCs w:val="20"/>
              </w:rPr>
              <w:t>Skills maintenance programme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406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465045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5045">
              <w:rPr>
                <w:rFonts w:cs="Arial"/>
                <w:b/>
                <w:color w:val="000000"/>
                <w:sz w:val="20"/>
                <w:szCs w:val="20"/>
              </w:rPr>
              <w:t>Stallingborough Interchange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Expected</w:t>
            </w:r>
          </w:p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D0301" w:rsidRPr="00EE2524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 w:rsidRPr="00EE2524"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342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465045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5045">
              <w:rPr>
                <w:rFonts w:cs="Arial"/>
                <w:b/>
                <w:color w:val="000000"/>
                <w:sz w:val="20"/>
                <w:szCs w:val="20"/>
              </w:rPr>
              <w:t>ERGO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203C42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  <w:r>
              <w:rPr>
                <w:rFonts w:cs="Arial"/>
                <w:color w:val="9BBB59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465045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5045">
              <w:rPr>
                <w:rFonts w:cs="Arial"/>
                <w:b/>
                <w:color w:val="000000"/>
                <w:sz w:val="20"/>
                <w:szCs w:val="20"/>
              </w:rPr>
              <w:t>Central Cleethorpes Regeneration Programme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301" w:rsidRPr="00DF7661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DF7661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Expected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322"/>
        </w:trPr>
        <w:tc>
          <w:tcPr>
            <w:tcW w:w="156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Additional projects</w:t>
            </w:r>
          </w:p>
        </w:tc>
      </w:tr>
      <w:tr w:rsidR="001D0301" w:rsidRPr="00E32EC6" w:rsidTr="00213404">
        <w:trPr>
          <w:trHeight w:val="43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>Hull Venue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  <w:r>
              <w:rPr>
                <w:rFonts w:cs="Arial"/>
                <w:color w:val="9BBB59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41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>Grovehill</w:t>
            </w:r>
            <w:proofErr w:type="spellEnd"/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 xml:space="preserve"> Bridge Maintenance Scheme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  <w:r>
              <w:rPr>
                <w:rFonts w:cs="Arial"/>
                <w:color w:val="9BBB59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>Port of Grimsby East Offshore Wind Operational Support Facilities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  <w:r>
              <w:rPr>
                <w:rFonts w:cs="Arial"/>
                <w:color w:val="9BBB59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  <w:tr w:rsidR="001D0301" w:rsidRPr="00E32EC6" w:rsidTr="00213404">
        <w:trPr>
          <w:trHeight w:val="60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>Increasing the visitor economy in North Lincolnshire (</w:t>
            </w:r>
            <w:proofErr w:type="spellStart"/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>Normanby</w:t>
            </w:r>
            <w:proofErr w:type="spellEnd"/>
            <w:r w:rsidRPr="007B4111">
              <w:rPr>
                <w:rFonts w:cs="Arial"/>
                <w:b/>
                <w:color w:val="000000"/>
                <w:sz w:val="20"/>
                <w:szCs w:val="20"/>
              </w:rPr>
              <w:t xml:space="preserve"> Hall Country Park)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E32EC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  <w:r w:rsidRPr="00E32EC6"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01" w:rsidRDefault="001D0301" w:rsidP="00213404">
            <w:pPr>
              <w:jc w:val="left"/>
              <w:rPr>
                <w:rFonts w:ascii="Wingdings" w:hAnsi="Wingding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  <w:r>
              <w:rPr>
                <w:rFonts w:cs="Arial"/>
                <w:color w:val="9BBB59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D0301" w:rsidRPr="00E32EC6" w:rsidRDefault="001D0301" w:rsidP="00213404">
            <w:pPr>
              <w:jc w:val="left"/>
              <w:rPr>
                <w:rFonts w:cs="Arial"/>
                <w:color w:val="9BBB59"/>
                <w:sz w:val="20"/>
                <w:szCs w:val="20"/>
                <w:lang w:eastAsia="en-GB"/>
              </w:rPr>
            </w:pPr>
          </w:p>
        </w:tc>
      </w:tr>
    </w:tbl>
    <w:p w:rsidR="001D0301" w:rsidRDefault="001D0301" w:rsidP="001D0301"/>
    <w:p w:rsidR="004D3E99" w:rsidRDefault="004D3E99" w:rsidP="001D0301">
      <w:pPr>
        <w:rPr>
          <w:sz w:val="20"/>
        </w:rPr>
      </w:pPr>
    </w:p>
    <w:p w:rsidR="001D0301" w:rsidRDefault="001D0301" w:rsidP="001D0301">
      <w:pPr>
        <w:rPr>
          <w:sz w:val="20"/>
        </w:rPr>
      </w:pPr>
      <w:r w:rsidRPr="00424E2D">
        <w:rPr>
          <w:sz w:val="20"/>
        </w:rPr>
        <w:t>Note</w:t>
      </w:r>
      <w:r>
        <w:rPr>
          <w:sz w:val="20"/>
        </w:rPr>
        <w:t>s</w:t>
      </w:r>
      <w:r w:rsidRPr="00424E2D">
        <w:rPr>
          <w:sz w:val="20"/>
        </w:rPr>
        <w:t xml:space="preserve">: Changes </w:t>
      </w:r>
      <w:r>
        <w:rPr>
          <w:sz w:val="20"/>
        </w:rPr>
        <w:t xml:space="preserve">are </w:t>
      </w:r>
      <w:r w:rsidRPr="00424E2D">
        <w:rPr>
          <w:sz w:val="20"/>
        </w:rPr>
        <w:t>highlighted in darker colours</w:t>
      </w:r>
      <w:r>
        <w:rPr>
          <w:sz w:val="20"/>
        </w:rPr>
        <w:t>.  Figures are rounded.  – In progress   * Project sponsor commenced delivery prior to funding agreement.</w:t>
      </w:r>
    </w:p>
    <w:p w:rsidR="001D0301" w:rsidRPr="00D81347" w:rsidRDefault="001D0301" w:rsidP="001D0301">
      <w:pPr>
        <w:rPr>
          <w:sz w:val="20"/>
        </w:rPr>
      </w:pPr>
      <w:r>
        <w:rPr>
          <w:sz w:val="20"/>
        </w:rPr>
        <w:t xml:space="preserve">** Recommended for Board decision   </w:t>
      </w:r>
      <w:r w:rsidRPr="00EE0C6E">
        <w:rPr>
          <w:rFonts w:cs="Arial"/>
          <w:bCs/>
          <w:color w:val="000000"/>
          <w:sz w:val="20"/>
          <w:szCs w:val="20"/>
          <w:lang w:eastAsia="en-GB"/>
        </w:rPr>
        <w:t>↑ / ↓ direction of profile change, brackets denote provisional</w:t>
      </w:r>
      <w:r>
        <w:rPr>
          <w:rFonts w:cs="Arial"/>
          <w:bCs/>
          <w:color w:val="000000"/>
          <w:sz w:val="20"/>
          <w:szCs w:val="20"/>
          <w:lang w:eastAsia="en-GB"/>
        </w:rPr>
        <w:t xml:space="preserve"> pending approval    # </w:t>
      </w:r>
      <w:proofErr w:type="gramStart"/>
      <w:r>
        <w:rPr>
          <w:rFonts w:cs="Arial"/>
          <w:bCs/>
          <w:color w:val="000000"/>
          <w:sz w:val="20"/>
          <w:szCs w:val="20"/>
          <w:lang w:eastAsia="en-GB"/>
        </w:rPr>
        <w:t>To</w:t>
      </w:r>
      <w:proofErr w:type="gramEnd"/>
      <w:r>
        <w:rPr>
          <w:rFonts w:cs="Arial"/>
          <w:bCs/>
          <w:color w:val="000000"/>
          <w:sz w:val="20"/>
          <w:szCs w:val="20"/>
          <w:lang w:eastAsia="en-GB"/>
        </w:rPr>
        <w:t xml:space="preserve"> be increased – exact amount TBC</w:t>
      </w:r>
    </w:p>
    <w:p w:rsidR="00946724" w:rsidRPr="00946724" w:rsidRDefault="00946724" w:rsidP="005823F9">
      <w:pPr>
        <w:rPr>
          <w:rFonts w:cs="Arial"/>
          <w:b/>
          <w:u w:val="single"/>
        </w:rPr>
      </w:pPr>
    </w:p>
    <w:sectPr w:rsidR="00946724" w:rsidRPr="00946724" w:rsidSect="001D0301">
      <w:pgSz w:w="16838" w:h="11906" w:orient="landscape"/>
      <w:pgMar w:top="720" w:right="720" w:bottom="720" w:left="720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F0" w:rsidRDefault="00B16AF0" w:rsidP="000D3FC9">
      <w:r>
        <w:separator/>
      </w:r>
    </w:p>
  </w:endnote>
  <w:endnote w:type="continuationSeparator" w:id="0">
    <w:p w:rsidR="00B16AF0" w:rsidRDefault="00B16AF0" w:rsidP="000D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F0" w:rsidRDefault="00A66D3A">
    <w:pPr>
      <w:pStyle w:val="Footer"/>
      <w:jc w:val="right"/>
    </w:pPr>
    <w:r>
      <w:fldChar w:fldCharType="begin"/>
    </w:r>
    <w:r w:rsidR="00B16AF0">
      <w:instrText xml:space="preserve"> PAGE   \* MERGEFORMAT </w:instrText>
    </w:r>
    <w:r>
      <w:fldChar w:fldCharType="separate"/>
    </w:r>
    <w:r w:rsidR="00947B70">
      <w:rPr>
        <w:noProof/>
      </w:rPr>
      <w:t>1</w:t>
    </w:r>
    <w:r>
      <w:rPr>
        <w:noProof/>
      </w:rPr>
      <w:fldChar w:fldCharType="end"/>
    </w:r>
  </w:p>
  <w:p w:rsidR="00B16AF0" w:rsidRDefault="00B16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F0" w:rsidRDefault="00B16AF0" w:rsidP="000D3FC9">
      <w:r>
        <w:separator/>
      </w:r>
    </w:p>
  </w:footnote>
  <w:footnote w:type="continuationSeparator" w:id="0">
    <w:p w:rsidR="00B16AF0" w:rsidRDefault="00B16AF0" w:rsidP="000D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B5" w:rsidRDefault="002C7FB5">
    <w:pPr>
      <w:pStyle w:val="Header"/>
    </w:pPr>
    <w:r>
      <w:rPr>
        <w:b/>
      </w:rPr>
      <w:tab/>
    </w:r>
    <w:r>
      <w:rPr>
        <w:b/>
      </w:rPr>
      <w:tab/>
    </w:r>
    <w:r w:rsidRPr="00A63F1D">
      <w:rPr>
        <w:b/>
        <w:sz w:val="24"/>
        <w:szCs w:val="24"/>
      </w:rPr>
      <w:t>Paper F</w:t>
    </w:r>
    <w:r w:rsidR="003537E5"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C2"/>
    <w:multiLevelType w:val="hybridMultilevel"/>
    <w:tmpl w:val="50A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65E9A"/>
    <w:multiLevelType w:val="hybridMultilevel"/>
    <w:tmpl w:val="000A0188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2F1787A"/>
    <w:multiLevelType w:val="hybridMultilevel"/>
    <w:tmpl w:val="6BE8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4B1B"/>
    <w:multiLevelType w:val="hybridMultilevel"/>
    <w:tmpl w:val="3640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03884"/>
    <w:multiLevelType w:val="hybridMultilevel"/>
    <w:tmpl w:val="BF9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23FE"/>
    <w:multiLevelType w:val="hybridMultilevel"/>
    <w:tmpl w:val="0F26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07516"/>
    <w:multiLevelType w:val="hybridMultilevel"/>
    <w:tmpl w:val="56D8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6FDD"/>
    <w:multiLevelType w:val="hybridMultilevel"/>
    <w:tmpl w:val="6E48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198D"/>
    <w:multiLevelType w:val="hybridMultilevel"/>
    <w:tmpl w:val="E0CE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177E"/>
    <w:multiLevelType w:val="multilevel"/>
    <w:tmpl w:val="855A3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F2A22C3"/>
    <w:multiLevelType w:val="hybridMultilevel"/>
    <w:tmpl w:val="FEDE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4F70"/>
    <w:multiLevelType w:val="hybridMultilevel"/>
    <w:tmpl w:val="640C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C1663"/>
    <w:multiLevelType w:val="hybridMultilevel"/>
    <w:tmpl w:val="FC72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94334"/>
    <w:multiLevelType w:val="hybridMultilevel"/>
    <w:tmpl w:val="C58C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A05E3"/>
    <w:multiLevelType w:val="hybridMultilevel"/>
    <w:tmpl w:val="0050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45051"/>
    <w:multiLevelType w:val="hybridMultilevel"/>
    <w:tmpl w:val="EA78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525CD"/>
    <w:multiLevelType w:val="hybridMultilevel"/>
    <w:tmpl w:val="274A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7921"/>
    <w:multiLevelType w:val="hybridMultilevel"/>
    <w:tmpl w:val="4EDA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95843"/>
    <w:multiLevelType w:val="hybridMultilevel"/>
    <w:tmpl w:val="98DA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42AF"/>
    <w:multiLevelType w:val="hybridMultilevel"/>
    <w:tmpl w:val="C564284E"/>
    <w:lvl w:ilvl="0" w:tplc="08090005">
      <w:start w:val="1"/>
      <w:numFmt w:val="bullet"/>
      <w:lvlText w:val=""/>
      <w:lvlJc w:val="left"/>
      <w:pPr>
        <w:ind w:left="10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0">
    <w:nsid w:val="62731F4F"/>
    <w:multiLevelType w:val="hybridMultilevel"/>
    <w:tmpl w:val="7BC8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353D6"/>
    <w:multiLevelType w:val="multilevel"/>
    <w:tmpl w:val="6896E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Reporttex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BF26657"/>
    <w:multiLevelType w:val="hybridMultilevel"/>
    <w:tmpl w:val="DAC410CE"/>
    <w:lvl w:ilvl="0" w:tplc="89AE7FF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CA09E6"/>
    <w:multiLevelType w:val="hybridMultilevel"/>
    <w:tmpl w:val="FAC29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FF035A"/>
    <w:multiLevelType w:val="hybridMultilevel"/>
    <w:tmpl w:val="7B8C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66FEC"/>
    <w:multiLevelType w:val="hybridMultilevel"/>
    <w:tmpl w:val="04965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13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25"/>
  </w:num>
  <w:num w:numId="19">
    <w:abstractNumId w:val="17"/>
  </w:num>
  <w:num w:numId="20">
    <w:abstractNumId w:val="6"/>
  </w:num>
  <w:num w:numId="21">
    <w:abstractNumId w:val="18"/>
  </w:num>
  <w:num w:numId="22">
    <w:abstractNumId w:val="12"/>
  </w:num>
  <w:num w:numId="23">
    <w:abstractNumId w:val="15"/>
  </w:num>
  <w:num w:numId="24">
    <w:abstractNumId w:val="24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C"/>
    <w:rsid w:val="00000448"/>
    <w:rsid w:val="0001578C"/>
    <w:rsid w:val="00027444"/>
    <w:rsid w:val="00055466"/>
    <w:rsid w:val="000657E7"/>
    <w:rsid w:val="00077C61"/>
    <w:rsid w:val="000B67AD"/>
    <w:rsid w:val="000C474B"/>
    <w:rsid w:val="000D3FC9"/>
    <w:rsid w:val="000E2C6D"/>
    <w:rsid w:val="000E4511"/>
    <w:rsid w:val="000F46ED"/>
    <w:rsid w:val="001114DD"/>
    <w:rsid w:val="0011743F"/>
    <w:rsid w:val="00142802"/>
    <w:rsid w:val="0015491A"/>
    <w:rsid w:val="001652F6"/>
    <w:rsid w:val="00176D63"/>
    <w:rsid w:val="001909EE"/>
    <w:rsid w:val="001C398C"/>
    <w:rsid w:val="001C714B"/>
    <w:rsid w:val="001C75C6"/>
    <w:rsid w:val="001C7DB3"/>
    <w:rsid w:val="001D0301"/>
    <w:rsid w:val="001D3746"/>
    <w:rsid w:val="00244020"/>
    <w:rsid w:val="00246377"/>
    <w:rsid w:val="00255F04"/>
    <w:rsid w:val="0026477A"/>
    <w:rsid w:val="002B4D8F"/>
    <w:rsid w:val="002B79B7"/>
    <w:rsid w:val="002C1D10"/>
    <w:rsid w:val="002C3B39"/>
    <w:rsid w:val="002C3F4C"/>
    <w:rsid w:val="002C79EB"/>
    <w:rsid w:val="002C7FB5"/>
    <w:rsid w:val="002D073C"/>
    <w:rsid w:val="002D3F2A"/>
    <w:rsid w:val="0031772E"/>
    <w:rsid w:val="00332ECA"/>
    <w:rsid w:val="00336546"/>
    <w:rsid w:val="003537E5"/>
    <w:rsid w:val="00356550"/>
    <w:rsid w:val="0039064E"/>
    <w:rsid w:val="00393135"/>
    <w:rsid w:val="003A5EB3"/>
    <w:rsid w:val="003B4E29"/>
    <w:rsid w:val="003C68CD"/>
    <w:rsid w:val="003D5843"/>
    <w:rsid w:val="003E0BFB"/>
    <w:rsid w:val="003E639D"/>
    <w:rsid w:val="00402924"/>
    <w:rsid w:val="004055AF"/>
    <w:rsid w:val="0041427D"/>
    <w:rsid w:val="00415566"/>
    <w:rsid w:val="00427088"/>
    <w:rsid w:val="004A36E5"/>
    <w:rsid w:val="004A6D6A"/>
    <w:rsid w:val="004B15FC"/>
    <w:rsid w:val="004C3EA9"/>
    <w:rsid w:val="004D142E"/>
    <w:rsid w:val="004D3E99"/>
    <w:rsid w:val="004E4831"/>
    <w:rsid w:val="004F768F"/>
    <w:rsid w:val="00510140"/>
    <w:rsid w:val="00516B35"/>
    <w:rsid w:val="005173C5"/>
    <w:rsid w:val="005622C4"/>
    <w:rsid w:val="00577E97"/>
    <w:rsid w:val="005823F9"/>
    <w:rsid w:val="005838FF"/>
    <w:rsid w:val="00591ACD"/>
    <w:rsid w:val="005A30AA"/>
    <w:rsid w:val="005A3C82"/>
    <w:rsid w:val="005B647F"/>
    <w:rsid w:val="005C31C0"/>
    <w:rsid w:val="005D1A09"/>
    <w:rsid w:val="005D3459"/>
    <w:rsid w:val="005E6D8A"/>
    <w:rsid w:val="0060289B"/>
    <w:rsid w:val="00604A54"/>
    <w:rsid w:val="00647748"/>
    <w:rsid w:val="00666A39"/>
    <w:rsid w:val="006B1B34"/>
    <w:rsid w:val="006D0828"/>
    <w:rsid w:val="006F09D6"/>
    <w:rsid w:val="006F43A0"/>
    <w:rsid w:val="007102DE"/>
    <w:rsid w:val="0071531C"/>
    <w:rsid w:val="00723740"/>
    <w:rsid w:val="007541C5"/>
    <w:rsid w:val="0079220B"/>
    <w:rsid w:val="00797C2B"/>
    <w:rsid w:val="00797D9B"/>
    <w:rsid w:val="007C0EA1"/>
    <w:rsid w:val="007E663A"/>
    <w:rsid w:val="00836BB5"/>
    <w:rsid w:val="008630CA"/>
    <w:rsid w:val="00874785"/>
    <w:rsid w:val="00874AAE"/>
    <w:rsid w:val="008776F2"/>
    <w:rsid w:val="008809FF"/>
    <w:rsid w:val="008835B3"/>
    <w:rsid w:val="00886E38"/>
    <w:rsid w:val="00893AFC"/>
    <w:rsid w:val="008A32E3"/>
    <w:rsid w:val="008B3765"/>
    <w:rsid w:val="008B5183"/>
    <w:rsid w:val="008C40E1"/>
    <w:rsid w:val="008D7324"/>
    <w:rsid w:val="008E137B"/>
    <w:rsid w:val="008E195D"/>
    <w:rsid w:val="008F3021"/>
    <w:rsid w:val="00945067"/>
    <w:rsid w:val="00946724"/>
    <w:rsid w:val="00947B70"/>
    <w:rsid w:val="00950EB5"/>
    <w:rsid w:val="00974E52"/>
    <w:rsid w:val="00981722"/>
    <w:rsid w:val="009D5666"/>
    <w:rsid w:val="009E2653"/>
    <w:rsid w:val="00A1077A"/>
    <w:rsid w:val="00A14BD7"/>
    <w:rsid w:val="00A342FB"/>
    <w:rsid w:val="00A4599D"/>
    <w:rsid w:val="00A52D29"/>
    <w:rsid w:val="00A63F1D"/>
    <w:rsid w:val="00A66D3A"/>
    <w:rsid w:val="00A702C5"/>
    <w:rsid w:val="00AD04A3"/>
    <w:rsid w:val="00AF6489"/>
    <w:rsid w:val="00B13F2C"/>
    <w:rsid w:val="00B1633B"/>
    <w:rsid w:val="00B16AF0"/>
    <w:rsid w:val="00B26D56"/>
    <w:rsid w:val="00B30555"/>
    <w:rsid w:val="00BA5FD4"/>
    <w:rsid w:val="00BB15A7"/>
    <w:rsid w:val="00BB68CB"/>
    <w:rsid w:val="00BB7450"/>
    <w:rsid w:val="00BD791E"/>
    <w:rsid w:val="00BF178F"/>
    <w:rsid w:val="00BF4165"/>
    <w:rsid w:val="00C234F5"/>
    <w:rsid w:val="00C410AC"/>
    <w:rsid w:val="00C63824"/>
    <w:rsid w:val="00C708BE"/>
    <w:rsid w:val="00C81130"/>
    <w:rsid w:val="00CA0CF8"/>
    <w:rsid w:val="00CA11A3"/>
    <w:rsid w:val="00CA4248"/>
    <w:rsid w:val="00CB5FF0"/>
    <w:rsid w:val="00CE1C07"/>
    <w:rsid w:val="00CF00D6"/>
    <w:rsid w:val="00CF0617"/>
    <w:rsid w:val="00D07739"/>
    <w:rsid w:val="00D1254E"/>
    <w:rsid w:val="00D51E6E"/>
    <w:rsid w:val="00D63A16"/>
    <w:rsid w:val="00D6485F"/>
    <w:rsid w:val="00D736DD"/>
    <w:rsid w:val="00D91815"/>
    <w:rsid w:val="00D95736"/>
    <w:rsid w:val="00D97A6C"/>
    <w:rsid w:val="00DC7D3B"/>
    <w:rsid w:val="00DD7AD7"/>
    <w:rsid w:val="00DE6377"/>
    <w:rsid w:val="00DF0293"/>
    <w:rsid w:val="00E178F9"/>
    <w:rsid w:val="00E36EF7"/>
    <w:rsid w:val="00E54C3C"/>
    <w:rsid w:val="00E61A8E"/>
    <w:rsid w:val="00E81C50"/>
    <w:rsid w:val="00EE544E"/>
    <w:rsid w:val="00F06651"/>
    <w:rsid w:val="00F2287F"/>
    <w:rsid w:val="00F409DF"/>
    <w:rsid w:val="00F5304A"/>
    <w:rsid w:val="00F6176A"/>
    <w:rsid w:val="00F75DED"/>
    <w:rsid w:val="00F7696A"/>
    <w:rsid w:val="00F8716D"/>
    <w:rsid w:val="00F96E4E"/>
    <w:rsid w:val="00FA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8C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98C"/>
    <w:pPr>
      <w:outlineLvl w:val="0"/>
    </w:pPr>
    <w:rPr>
      <w:sz w:val="28"/>
    </w:rPr>
  </w:style>
  <w:style w:type="paragraph" w:styleId="Heading2">
    <w:name w:val="heading 2"/>
    <w:basedOn w:val="Normal"/>
    <w:next w:val="Reporttext"/>
    <w:link w:val="Heading2Char"/>
    <w:uiPriority w:val="99"/>
    <w:qFormat/>
    <w:rsid w:val="001C398C"/>
    <w:pPr>
      <w:keepNext/>
      <w:numPr>
        <w:numId w:val="1"/>
      </w:numPr>
      <w:spacing w:before="220" w:after="220"/>
      <w:ind w:left="360"/>
      <w:outlineLvl w:val="1"/>
    </w:pPr>
    <w:rPr>
      <w:rFonts w:eastAsia="Times New Roman" w:cs="Arial"/>
      <w:b/>
      <w:bCs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98C"/>
    <w:rPr>
      <w:rFonts w:ascii="Arial" w:eastAsia="Times New Roman" w:hAnsi="Aria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398C"/>
    <w:rPr>
      <w:rFonts w:ascii="Arial" w:hAnsi="Arial" w:cs="Arial"/>
      <w:b/>
      <w:bCs/>
      <w:iCs/>
      <w:sz w:val="24"/>
      <w:szCs w:val="24"/>
      <w:u w:val="single"/>
    </w:rPr>
  </w:style>
  <w:style w:type="paragraph" w:customStyle="1" w:styleId="Reporttext">
    <w:name w:val="Report text"/>
    <w:basedOn w:val="ListParagraph"/>
    <w:uiPriority w:val="99"/>
    <w:rsid w:val="001C398C"/>
    <w:pPr>
      <w:numPr>
        <w:ilvl w:val="1"/>
        <w:numId w:val="2"/>
      </w:numPr>
      <w:spacing w:after="220"/>
      <w:contextualSpacing w:val="0"/>
    </w:pPr>
  </w:style>
  <w:style w:type="paragraph" w:styleId="ListParagraph">
    <w:name w:val="List Paragraph"/>
    <w:basedOn w:val="Normal"/>
    <w:uiPriority w:val="34"/>
    <w:qFormat/>
    <w:rsid w:val="001C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A09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0D3FC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3FC9"/>
    <w:pPr>
      <w:spacing w:after="200" w:line="276" w:lineRule="auto"/>
      <w:jc w:val="left"/>
    </w:pPr>
    <w:rPr>
      <w:rFonts w:eastAsia="Times New Roman"/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3FC9"/>
    <w:rPr>
      <w:rFonts w:ascii="Arial" w:hAnsi="Arial" w:cs="Times New Roman"/>
      <w:sz w:val="16"/>
      <w:lang w:val="en-US"/>
    </w:rPr>
  </w:style>
  <w:style w:type="table" w:styleId="TableGrid">
    <w:name w:val="Table Grid"/>
    <w:basedOn w:val="TableNormal"/>
    <w:uiPriority w:val="59"/>
    <w:rsid w:val="000D3FC9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39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3E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39D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rsid w:val="002C1D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DB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DB"/>
    <w:rPr>
      <w:rFonts w:ascii="Arial" w:hAnsi="Arial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E81C50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C50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E81C5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E81C50"/>
    <w:pPr>
      <w:spacing w:before="40" w:after="40"/>
      <w:jc w:val="left"/>
    </w:pPr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C50"/>
    <w:pPr>
      <w:spacing w:after="120" w:line="276" w:lineRule="auto"/>
      <w:ind w:left="283"/>
      <w:jc w:val="left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C50"/>
    <w:rPr>
      <w:lang w:eastAsia="en-US"/>
    </w:rPr>
  </w:style>
  <w:style w:type="paragraph" w:customStyle="1" w:styleId="Text">
    <w:name w:val="Text"/>
    <w:aliases w:val="t,Text Char Char Char,table + Left:  0 cm,First line:  0...,table,Text Char Char"/>
    <w:basedOn w:val="Normal"/>
    <w:link w:val="TextChar"/>
    <w:rsid w:val="00246377"/>
    <w:pPr>
      <w:overflowPunct w:val="0"/>
      <w:autoSpaceDE w:val="0"/>
      <w:autoSpaceDN w:val="0"/>
      <w:adjustRightInd w:val="0"/>
      <w:spacing w:before="130" w:after="120"/>
      <w:textAlignment w:val="baseline"/>
    </w:pPr>
    <w:rPr>
      <w:rFonts w:eastAsia="Batang"/>
      <w:sz w:val="20"/>
      <w:szCs w:val="20"/>
    </w:rPr>
  </w:style>
  <w:style w:type="character" w:customStyle="1" w:styleId="TextChar">
    <w:name w:val="Text Char"/>
    <w:aliases w:val="t Char,Text Char Char Char Char,table + Left:  0 cm Char,First line:  0... Char,table Char"/>
    <w:link w:val="Text"/>
    <w:rsid w:val="00246377"/>
    <w:rPr>
      <w:rFonts w:ascii="Arial" w:eastAsia="Batang" w:hAnsi="Arial"/>
      <w:sz w:val="20"/>
      <w:szCs w:val="20"/>
      <w:lang w:eastAsia="en-US"/>
    </w:rPr>
  </w:style>
  <w:style w:type="paragraph" w:customStyle="1" w:styleId="SingleLineBold">
    <w:name w:val="Single Line Bold"/>
    <w:basedOn w:val="Normal"/>
    <w:link w:val="SingleLineBoldChar"/>
    <w:rsid w:val="000B67AD"/>
    <w:pPr>
      <w:keepNext/>
      <w:tabs>
        <w:tab w:val="left" w:pos="5385"/>
      </w:tabs>
      <w:spacing w:line="276" w:lineRule="auto"/>
    </w:pPr>
    <w:rPr>
      <w:rFonts w:eastAsia="Times New Roman"/>
      <w:b/>
      <w:bCs/>
      <w:sz w:val="20"/>
      <w:szCs w:val="20"/>
      <w:lang w:eastAsia="en-GB"/>
    </w:rPr>
  </w:style>
  <w:style w:type="character" w:customStyle="1" w:styleId="SingleLineBoldChar">
    <w:name w:val="Single Line Bold Char"/>
    <w:basedOn w:val="DefaultParagraphFont"/>
    <w:link w:val="SingleLineBold"/>
    <w:rsid w:val="000B67AD"/>
    <w:rPr>
      <w:rFonts w:ascii="Arial" w:eastAsia="Times New Roman" w:hAnsi="Arial"/>
      <w:b/>
      <w:bCs/>
      <w:sz w:val="20"/>
      <w:szCs w:val="20"/>
    </w:rPr>
  </w:style>
  <w:style w:type="paragraph" w:customStyle="1" w:styleId="LetterParagraph">
    <w:name w:val="Letter Paragraph"/>
    <w:basedOn w:val="Normal"/>
    <w:rsid w:val="000B67AD"/>
    <w:pPr>
      <w:tabs>
        <w:tab w:val="num" w:pos="720"/>
      </w:tabs>
      <w:spacing w:after="120" w:line="276" w:lineRule="auto"/>
    </w:pPr>
    <w:rPr>
      <w:rFonts w:eastAsia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8776F2"/>
    <w:pPr>
      <w:jc w:val="both"/>
    </w:pPr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591ACD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D73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verSubTitle">
    <w:name w:val="Cover SubTitle"/>
    <w:basedOn w:val="Normal"/>
    <w:rsid w:val="004E4831"/>
    <w:pPr>
      <w:framePr w:w="5670" w:h="2948" w:hRule="exact" w:vSpace="181" w:wrap="notBeside" w:vAnchor="page" w:hAnchor="page" w:x="3171" w:y="5671" w:anchorLock="1"/>
      <w:overflowPunct w:val="0"/>
      <w:autoSpaceDE w:val="0"/>
      <w:autoSpaceDN w:val="0"/>
      <w:adjustRightInd w:val="0"/>
      <w:spacing w:before="130" w:after="120" w:line="440" w:lineRule="exact"/>
      <w:ind w:left="284"/>
      <w:textAlignment w:val="baseline"/>
    </w:pPr>
    <w:rPr>
      <w:rFonts w:eastAsia="Batang"/>
      <w:sz w:val="26"/>
      <w:szCs w:val="20"/>
    </w:rPr>
  </w:style>
  <w:style w:type="paragraph" w:customStyle="1" w:styleId="JBAParaText">
    <w:name w:val="JBA Para Text"/>
    <w:basedOn w:val="Normal"/>
    <w:rsid w:val="00946724"/>
    <w:pPr>
      <w:widowControl w:val="0"/>
      <w:tabs>
        <w:tab w:val="right" w:pos="8789"/>
      </w:tabs>
      <w:spacing w:after="120"/>
      <w:ind w:left="720"/>
      <w:outlineLvl w:val="1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8C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98C"/>
    <w:pPr>
      <w:outlineLvl w:val="0"/>
    </w:pPr>
    <w:rPr>
      <w:sz w:val="28"/>
    </w:rPr>
  </w:style>
  <w:style w:type="paragraph" w:styleId="Heading2">
    <w:name w:val="heading 2"/>
    <w:basedOn w:val="Normal"/>
    <w:next w:val="Reporttext"/>
    <w:link w:val="Heading2Char"/>
    <w:uiPriority w:val="99"/>
    <w:qFormat/>
    <w:rsid w:val="001C398C"/>
    <w:pPr>
      <w:keepNext/>
      <w:numPr>
        <w:numId w:val="1"/>
      </w:numPr>
      <w:spacing w:before="220" w:after="220"/>
      <w:ind w:left="360"/>
      <w:outlineLvl w:val="1"/>
    </w:pPr>
    <w:rPr>
      <w:rFonts w:eastAsia="Times New Roman" w:cs="Arial"/>
      <w:b/>
      <w:bCs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98C"/>
    <w:rPr>
      <w:rFonts w:ascii="Arial" w:eastAsia="Times New Roman" w:hAnsi="Aria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398C"/>
    <w:rPr>
      <w:rFonts w:ascii="Arial" w:hAnsi="Arial" w:cs="Arial"/>
      <w:b/>
      <w:bCs/>
      <w:iCs/>
      <w:sz w:val="24"/>
      <w:szCs w:val="24"/>
      <w:u w:val="single"/>
    </w:rPr>
  </w:style>
  <w:style w:type="paragraph" w:customStyle="1" w:styleId="Reporttext">
    <w:name w:val="Report text"/>
    <w:basedOn w:val="ListParagraph"/>
    <w:uiPriority w:val="99"/>
    <w:rsid w:val="001C398C"/>
    <w:pPr>
      <w:numPr>
        <w:ilvl w:val="1"/>
        <w:numId w:val="2"/>
      </w:numPr>
      <w:spacing w:after="220"/>
      <w:contextualSpacing w:val="0"/>
    </w:pPr>
  </w:style>
  <w:style w:type="paragraph" w:styleId="ListParagraph">
    <w:name w:val="List Paragraph"/>
    <w:basedOn w:val="Normal"/>
    <w:uiPriority w:val="34"/>
    <w:qFormat/>
    <w:rsid w:val="001C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A09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0D3FC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3FC9"/>
    <w:pPr>
      <w:spacing w:after="200" w:line="276" w:lineRule="auto"/>
      <w:jc w:val="left"/>
    </w:pPr>
    <w:rPr>
      <w:rFonts w:eastAsia="Times New Roman"/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3FC9"/>
    <w:rPr>
      <w:rFonts w:ascii="Arial" w:hAnsi="Arial" w:cs="Times New Roman"/>
      <w:sz w:val="16"/>
      <w:lang w:val="en-US"/>
    </w:rPr>
  </w:style>
  <w:style w:type="table" w:styleId="TableGrid">
    <w:name w:val="Table Grid"/>
    <w:basedOn w:val="TableNormal"/>
    <w:uiPriority w:val="59"/>
    <w:rsid w:val="000D3FC9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E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639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3E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39D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rsid w:val="002C1D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DB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DB"/>
    <w:rPr>
      <w:rFonts w:ascii="Arial" w:hAnsi="Arial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E81C50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C50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E81C5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E81C50"/>
    <w:pPr>
      <w:spacing w:before="40" w:after="40"/>
      <w:jc w:val="left"/>
    </w:pPr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C50"/>
    <w:pPr>
      <w:spacing w:after="120" w:line="276" w:lineRule="auto"/>
      <w:ind w:left="283"/>
      <w:jc w:val="left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C50"/>
    <w:rPr>
      <w:lang w:eastAsia="en-US"/>
    </w:rPr>
  </w:style>
  <w:style w:type="paragraph" w:customStyle="1" w:styleId="Text">
    <w:name w:val="Text"/>
    <w:aliases w:val="t,Text Char Char Char,table + Left:  0 cm,First line:  0...,table,Text Char Char"/>
    <w:basedOn w:val="Normal"/>
    <w:link w:val="TextChar"/>
    <w:rsid w:val="00246377"/>
    <w:pPr>
      <w:overflowPunct w:val="0"/>
      <w:autoSpaceDE w:val="0"/>
      <w:autoSpaceDN w:val="0"/>
      <w:adjustRightInd w:val="0"/>
      <w:spacing w:before="130" w:after="120"/>
      <w:textAlignment w:val="baseline"/>
    </w:pPr>
    <w:rPr>
      <w:rFonts w:eastAsia="Batang"/>
      <w:sz w:val="20"/>
      <w:szCs w:val="20"/>
    </w:rPr>
  </w:style>
  <w:style w:type="character" w:customStyle="1" w:styleId="TextChar">
    <w:name w:val="Text Char"/>
    <w:aliases w:val="t Char,Text Char Char Char Char,table + Left:  0 cm Char,First line:  0... Char,table Char"/>
    <w:link w:val="Text"/>
    <w:rsid w:val="00246377"/>
    <w:rPr>
      <w:rFonts w:ascii="Arial" w:eastAsia="Batang" w:hAnsi="Arial"/>
      <w:sz w:val="20"/>
      <w:szCs w:val="20"/>
      <w:lang w:eastAsia="en-US"/>
    </w:rPr>
  </w:style>
  <w:style w:type="paragraph" w:customStyle="1" w:styleId="SingleLineBold">
    <w:name w:val="Single Line Bold"/>
    <w:basedOn w:val="Normal"/>
    <w:link w:val="SingleLineBoldChar"/>
    <w:rsid w:val="000B67AD"/>
    <w:pPr>
      <w:keepNext/>
      <w:tabs>
        <w:tab w:val="left" w:pos="5385"/>
      </w:tabs>
      <w:spacing w:line="276" w:lineRule="auto"/>
    </w:pPr>
    <w:rPr>
      <w:rFonts w:eastAsia="Times New Roman"/>
      <w:b/>
      <w:bCs/>
      <w:sz w:val="20"/>
      <w:szCs w:val="20"/>
      <w:lang w:eastAsia="en-GB"/>
    </w:rPr>
  </w:style>
  <w:style w:type="character" w:customStyle="1" w:styleId="SingleLineBoldChar">
    <w:name w:val="Single Line Bold Char"/>
    <w:basedOn w:val="DefaultParagraphFont"/>
    <w:link w:val="SingleLineBold"/>
    <w:rsid w:val="000B67AD"/>
    <w:rPr>
      <w:rFonts w:ascii="Arial" w:eastAsia="Times New Roman" w:hAnsi="Arial"/>
      <w:b/>
      <w:bCs/>
      <w:sz w:val="20"/>
      <w:szCs w:val="20"/>
    </w:rPr>
  </w:style>
  <w:style w:type="paragraph" w:customStyle="1" w:styleId="LetterParagraph">
    <w:name w:val="Letter Paragraph"/>
    <w:basedOn w:val="Normal"/>
    <w:rsid w:val="000B67AD"/>
    <w:pPr>
      <w:tabs>
        <w:tab w:val="num" w:pos="720"/>
      </w:tabs>
      <w:spacing w:after="120" w:line="276" w:lineRule="auto"/>
    </w:pPr>
    <w:rPr>
      <w:rFonts w:eastAsia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8776F2"/>
    <w:pPr>
      <w:jc w:val="both"/>
    </w:pPr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591ACD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D73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verSubTitle">
    <w:name w:val="Cover SubTitle"/>
    <w:basedOn w:val="Normal"/>
    <w:rsid w:val="004E4831"/>
    <w:pPr>
      <w:framePr w:w="5670" w:h="2948" w:hRule="exact" w:vSpace="181" w:wrap="notBeside" w:vAnchor="page" w:hAnchor="page" w:x="3171" w:y="5671" w:anchorLock="1"/>
      <w:overflowPunct w:val="0"/>
      <w:autoSpaceDE w:val="0"/>
      <w:autoSpaceDN w:val="0"/>
      <w:adjustRightInd w:val="0"/>
      <w:spacing w:before="130" w:after="120" w:line="440" w:lineRule="exact"/>
      <w:ind w:left="284"/>
      <w:textAlignment w:val="baseline"/>
    </w:pPr>
    <w:rPr>
      <w:rFonts w:eastAsia="Batang"/>
      <w:sz w:val="26"/>
      <w:szCs w:val="20"/>
    </w:rPr>
  </w:style>
  <w:style w:type="paragraph" w:customStyle="1" w:styleId="JBAParaText">
    <w:name w:val="JBA Para Text"/>
    <w:basedOn w:val="Normal"/>
    <w:rsid w:val="00946724"/>
    <w:pPr>
      <w:widowControl w:val="0"/>
      <w:tabs>
        <w:tab w:val="right" w:pos="8789"/>
      </w:tabs>
      <w:spacing w:after="120"/>
      <w:ind w:left="720"/>
      <w:outlineLvl w:val="1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1154-EA89-4D9B-B923-138778A5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963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Deal</vt:lpstr>
    </vt:vector>
  </TitlesOfParts>
  <Company>Hull City Council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Deal</dc:title>
  <dc:creator>Richard Kendall</dc:creator>
  <cp:lastModifiedBy>Administrator</cp:lastModifiedBy>
  <cp:revision>14</cp:revision>
  <cp:lastPrinted>2016-08-26T08:17:00Z</cp:lastPrinted>
  <dcterms:created xsi:type="dcterms:W3CDTF">2016-08-26T07:53:00Z</dcterms:created>
  <dcterms:modified xsi:type="dcterms:W3CDTF">2016-08-26T09:08:00Z</dcterms:modified>
</cp:coreProperties>
</file>