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B3B3"/>
        <w:tblLook w:val="01E0" w:firstRow="1" w:lastRow="1" w:firstColumn="1" w:lastColumn="1" w:noHBand="0" w:noVBand="0"/>
      </w:tblPr>
      <w:tblGrid>
        <w:gridCol w:w="10338"/>
      </w:tblGrid>
      <w:tr w:rsidR="00FD0EF2" w:rsidRPr="00E254A0" w:rsidTr="00E254A0">
        <w:trPr>
          <w:trHeight w:val="834"/>
        </w:trPr>
        <w:tc>
          <w:tcPr>
            <w:tcW w:w="10456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FD0EF2" w:rsidRPr="00E254A0" w:rsidRDefault="00311521" w:rsidP="00E254A0">
            <w:pPr>
              <w:jc w:val="center"/>
              <w:rPr>
                <w:rFonts w:cs="Arial"/>
                <w:b/>
                <w:smallCap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>Growing Hull and East Yorkshire</w:t>
            </w:r>
            <w:r w:rsidR="00FD0EF2" w:rsidRPr="00E254A0">
              <w:rPr>
                <w:rFonts w:cs="Arial"/>
                <w:b/>
                <w:smallCaps/>
                <w:sz w:val="28"/>
                <w:szCs w:val="28"/>
              </w:rPr>
              <w:t xml:space="preserve"> – Business Investment Grants</w:t>
            </w:r>
          </w:p>
        </w:tc>
      </w:tr>
      <w:tr w:rsidR="00FD0EF2" w:rsidRPr="00E254A0" w:rsidTr="00E254A0">
        <w:tc>
          <w:tcPr>
            <w:tcW w:w="10456" w:type="dxa"/>
            <w:tcBorders>
              <w:left w:val="nil"/>
              <w:right w:val="nil"/>
            </w:tcBorders>
            <w:shd w:val="clear" w:color="auto" w:fill="auto"/>
          </w:tcPr>
          <w:p w:rsidR="00FD0EF2" w:rsidRPr="00E254A0" w:rsidRDefault="00FD0EF2" w:rsidP="00E254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</w:p>
        </w:tc>
      </w:tr>
      <w:tr w:rsidR="00FD0EF2" w:rsidRPr="00E254A0" w:rsidTr="00E254A0">
        <w:trPr>
          <w:trHeight w:val="397"/>
        </w:trPr>
        <w:tc>
          <w:tcPr>
            <w:tcW w:w="10456" w:type="dxa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FD0EF2" w:rsidRPr="00E254A0" w:rsidRDefault="008111D3" w:rsidP="00E254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smallCaps/>
                <w:color w:val="000000"/>
                <w:szCs w:val="24"/>
                <w:lang w:eastAsia="en-GB"/>
              </w:rPr>
              <w:t>Programme Overview</w:t>
            </w:r>
          </w:p>
        </w:tc>
      </w:tr>
      <w:tr w:rsidR="00FD0EF2" w:rsidRPr="00E254A0" w:rsidTr="00E254A0">
        <w:tc>
          <w:tcPr>
            <w:tcW w:w="10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0EF2" w:rsidRPr="00E254A0" w:rsidRDefault="00FD0EF2" w:rsidP="00E254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</w:p>
        </w:tc>
      </w:tr>
    </w:tbl>
    <w:p w:rsidR="00FD0EF2" w:rsidRDefault="00FD0EF2" w:rsidP="00FD0EF2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4"/>
          <w:lang w:eastAsia="en-GB"/>
        </w:rPr>
      </w:pPr>
    </w:p>
    <w:p w:rsidR="004509EC" w:rsidRPr="00FD0EF2" w:rsidRDefault="004509EC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  <w:r w:rsidRPr="00FD0EF2">
        <w:rPr>
          <w:rFonts w:cs="Arial"/>
          <w:b/>
          <w:color w:val="000000"/>
          <w:szCs w:val="24"/>
          <w:lang w:eastAsia="en-GB"/>
        </w:rPr>
        <w:t>Introduction</w:t>
      </w:r>
    </w:p>
    <w:p w:rsidR="004509EC" w:rsidRPr="00FD0EF2" w:rsidRDefault="004509EC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311521" w:rsidRDefault="00311521" w:rsidP="00311521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The aim of the </w:t>
      </w:r>
      <w:r w:rsidR="00EB3245">
        <w:rPr>
          <w:rFonts w:cs="Arial"/>
          <w:color w:val="000000"/>
          <w:szCs w:val="24"/>
          <w:lang w:eastAsia="en-GB"/>
        </w:rPr>
        <w:t>Hull &amp; East Yorkshire (</w:t>
      </w:r>
      <w:r w:rsidR="00C03B6B">
        <w:rPr>
          <w:rFonts w:cs="Arial"/>
          <w:color w:val="000000"/>
          <w:szCs w:val="24"/>
          <w:lang w:eastAsia="en-GB"/>
        </w:rPr>
        <w:t>HEY</w:t>
      </w:r>
      <w:r w:rsidR="00EB3245">
        <w:rPr>
          <w:rFonts w:cs="Arial"/>
          <w:color w:val="000000"/>
          <w:szCs w:val="24"/>
          <w:lang w:eastAsia="en-GB"/>
        </w:rPr>
        <w:t>)</w:t>
      </w:r>
      <w:bookmarkStart w:id="0" w:name="_GoBack"/>
      <w:bookmarkEnd w:id="0"/>
      <w:r>
        <w:rPr>
          <w:rFonts w:cs="Arial"/>
          <w:color w:val="000000"/>
          <w:szCs w:val="24"/>
          <w:lang w:eastAsia="en-GB"/>
        </w:rPr>
        <w:t xml:space="preserve"> LEP’s Growing Hull and East Yorkshire programme is to </w:t>
      </w:r>
      <w:r w:rsidRPr="00FD0EF2">
        <w:rPr>
          <w:rFonts w:cs="Arial"/>
          <w:color w:val="000000"/>
          <w:szCs w:val="24"/>
          <w:lang w:eastAsia="en-GB"/>
        </w:rPr>
        <w:t xml:space="preserve">help grow the economy which has been disadvantaged through the impact of job losses within both the public and private sector. The </w:t>
      </w:r>
      <w:r>
        <w:rPr>
          <w:rFonts w:cs="Arial"/>
          <w:color w:val="000000"/>
          <w:szCs w:val="24"/>
          <w:lang w:eastAsia="en-GB"/>
        </w:rPr>
        <w:t xml:space="preserve">prime objective of the programme </w:t>
      </w:r>
      <w:r w:rsidRPr="00FD0EF2">
        <w:rPr>
          <w:rFonts w:cs="Arial"/>
          <w:color w:val="000000"/>
          <w:szCs w:val="24"/>
          <w:lang w:eastAsia="en-GB"/>
        </w:rPr>
        <w:t>is t</w:t>
      </w:r>
      <w:r>
        <w:rPr>
          <w:rFonts w:cs="Arial"/>
          <w:color w:val="000000"/>
          <w:szCs w:val="24"/>
          <w:lang w:eastAsia="en-GB"/>
        </w:rPr>
        <w:t>o achieve sustainable jobs by incentivising investment in existing business</w:t>
      </w:r>
      <w:r w:rsidRPr="00FD0EF2">
        <w:rPr>
          <w:rFonts w:cs="Arial"/>
          <w:color w:val="000000"/>
          <w:szCs w:val="24"/>
          <w:lang w:eastAsia="en-GB"/>
        </w:rPr>
        <w:t xml:space="preserve">. </w:t>
      </w:r>
    </w:p>
    <w:p w:rsidR="00311521" w:rsidRDefault="00311521" w:rsidP="00311521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311521" w:rsidRPr="00FD0EF2" w:rsidRDefault="00311521" w:rsidP="00311521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 w:rsidRPr="00FD0EF2">
        <w:rPr>
          <w:rFonts w:cs="Arial"/>
          <w:color w:val="000000"/>
          <w:szCs w:val="24"/>
          <w:lang w:eastAsia="en-GB"/>
        </w:rPr>
        <w:t>The key priorities will be to support the expansion, modernisation and diversification of businesses</w:t>
      </w:r>
      <w:r>
        <w:rPr>
          <w:rFonts w:cs="Arial"/>
          <w:color w:val="000000"/>
          <w:szCs w:val="24"/>
          <w:lang w:eastAsia="en-GB"/>
        </w:rPr>
        <w:t xml:space="preserve"> </w:t>
      </w:r>
      <w:r w:rsidRPr="00FD0EF2">
        <w:rPr>
          <w:rFonts w:cs="Arial"/>
          <w:color w:val="000000"/>
          <w:szCs w:val="24"/>
          <w:lang w:eastAsia="en-GB"/>
        </w:rPr>
        <w:t xml:space="preserve">located in </w:t>
      </w:r>
      <w:r>
        <w:rPr>
          <w:rFonts w:cs="Arial"/>
          <w:color w:val="000000"/>
          <w:szCs w:val="24"/>
          <w:lang w:eastAsia="en-GB"/>
        </w:rPr>
        <w:t xml:space="preserve">the Hull and East Yorkshire area. </w:t>
      </w:r>
    </w:p>
    <w:p w:rsidR="00311521" w:rsidRPr="00FD0EF2" w:rsidRDefault="00311521" w:rsidP="00311521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311521" w:rsidRPr="00FD0EF2" w:rsidRDefault="00311521" w:rsidP="00311521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 w:rsidRPr="00FD0EF2">
        <w:rPr>
          <w:rFonts w:cs="Arial"/>
          <w:color w:val="000000"/>
          <w:szCs w:val="24"/>
          <w:lang w:eastAsia="en-GB"/>
        </w:rPr>
        <w:t xml:space="preserve">This document </w:t>
      </w:r>
      <w:r>
        <w:rPr>
          <w:rFonts w:cs="Arial"/>
          <w:color w:val="000000"/>
          <w:szCs w:val="24"/>
          <w:lang w:eastAsia="en-GB"/>
        </w:rPr>
        <w:t xml:space="preserve">is intended to provide a quick overview only and </w:t>
      </w:r>
      <w:r w:rsidRPr="00FD0EF2">
        <w:rPr>
          <w:rFonts w:cs="Arial"/>
          <w:color w:val="000000"/>
          <w:szCs w:val="24"/>
          <w:lang w:eastAsia="en-GB"/>
        </w:rPr>
        <w:t xml:space="preserve">should be read in conjunction with the </w:t>
      </w:r>
      <w:r>
        <w:rPr>
          <w:rFonts w:cs="Arial"/>
          <w:color w:val="000000"/>
          <w:szCs w:val="24"/>
          <w:lang w:eastAsia="en-GB"/>
        </w:rPr>
        <w:t>d</w:t>
      </w:r>
      <w:r w:rsidRPr="00FD0EF2">
        <w:rPr>
          <w:rFonts w:cs="Arial"/>
          <w:color w:val="000000"/>
          <w:szCs w:val="24"/>
          <w:lang w:eastAsia="en-GB"/>
        </w:rPr>
        <w:t xml:space="preserve">etailed </w:t>
      </w:r>
      <w:r>
        <w:rPr>
          <w:rFonts w:cs="Arial"/>
          <w:color w:val="000000"/>
          <w:szCs w:val="24"/>
          <w:lang w:eastAsia="en-GB"/>
        </w:rPr>
        <w:t xml:space="preserve">Programme Guidance </w:t>
      </w:r>
      <w:r w:rsidRPr="00FD0EF2">
        <w:rPr>
          <w:rFonts w:cs="Arial"/>
          <w:color w:val="000000"/>
          <w:szCs w:val="24"/>
          <w:lang w:eastAsia="en-GB"/>
        </w:rPr>
        <w:t xml:space="preserve">which provides </w:t>
      </w:r>
      <w:r>
        <w:rPr>
          <w:rFonts w:cs="Arial"/>
          <w:color w:val="000000"/>
          <w:szCs w:val="24"/>
          <w:lang w:eastAsia="en-GB"/>
        </w:rPr>
        <w:t xml:space="preserve">comprehensive </w:t>
      </w:r>
      <w:r w:rsidRPr="00FD0EF2">
        <w:rPr>
          <w:rFonts w:cs="Arial"/>
          <w:color w:val="000000"/>
          <w:szCs w:val="24"/>
          <w:lang w:eastAsia="en-GB"/>
        </w:rPr>
        <w:t xml:space="preserve">information in relation to </w:t>
      </w:r>
      <w:r>
        <w:rPr>
          <w:rFonts w:cs="Arial"/>
          <w:color w:val="000000"/>
          <w:szCs w:val="24"/>
          <w:lang w:eastAsia="en-GB"/>
        </w:rPr>
        <w:t xml:space="preserve">the terms and conditions of the funding. </w:t>
      </w:r>
    </w:p>
    <w:p w:rsidR="0069129C" w:rsidRDefault="0069129C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4B69D1" w:rsidRPr="00FD0EF2" w:rsidRDefault="00EB2669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  <w:r>
        <w:rPr>
          <w:rFonts w:cs="Arial"/>
          <w:b/>
          <w:color w:val="000000"/>
          <w:szCs w:val="24"/>
          <w:lang w:eastAsia="en-GB"/>
        </w:rPr>
        <w:t>Eligible Business</w:t>
      </w:r>
      <w:r w:rsidR="004B69D1" w:rsidRPr="00FD0EF2">
        <w:rPr>
          <w:rFonts w:cs="Arial"/>
          <w:b/>
          <w:color w:val="000000"/>
          <w:szCs w:val="24"/>
          <w:lang w:eastAsia="en-GB"/>
        </w:rPr>
        <w:t>es</w:t>
      </w:r>
    </w:p>
    <w:p w:rsidR="004B69D1" w:rsidRDefault="004B69D1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EB2669" w:rsidRDefault="00325E11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To be eligible for funding, businesses must be:</w:t>
      </w:r>
    </w:p>
    <w:p w:rsidR="00325E11" w:rsidRDefault="00325E11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325E11" w:rsidRDefault="00325E11" w:rsidP="0069129C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Legally constituted</w:t>
      </w:r>
    </w:p>
    <w:p w:rsidR="00325E11" w:rsidRDefault="00325E11" w:rsidP="0069129C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A micro, small or medium enterprise</w:t>
      </w:r>
    </w:p>
    <w:p w:rsidR="00325E11" w:rsidRDefault="00325E11" w:rsidP="0069129C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Located in or locating to the </w:t>
      </w:r>
      <w:r w:rsidR="0069129C">
        <w:rPr>
          <w:rFonts w:cs="Arial"/>
          <w:color w:val="000000"/>
          <w:szCs w:val="24"/>
          <w:lang w:eastAsia="en-GB"/>
        </w:rPr>
        <w:t>Hull and East Yorkshire areas.</w:t>
      </w:r>
    </w:p>
    <w:p w:rsidR="00325E11" w:rsidRDefault="00325E11" w:rsidP="0069129C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A financially viable business that has been trading for at least 12 months</w:t>
      </w:r>
      <w:r w:rsidR="00311521">
        <w:rPr>
          <w:rFonts w:cs="Arial"/>
          <w:color w:val="000000"/>
          <w:szCs w:val="24"/>
          <w:lang w:eastAsia="en-GB"/>
        </w:rPr>
        <w:t xml:space="preserve"> (new businesses may be considered by exception).</w:t>
      </w:r>
    </w:p>
    <w:p w:rsidR="00325E11" w:rsidRDefault="00325E11" w:rsidP="0069129C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A business with a geographically broad (beyond the </w:t>
      </w:r>
      <w:r w:rsidR="00C03B6B">
        <w:rPr>
          <w:rFonts w:cs="Arial"/>
          <w:color w:val="000000"/>
          <w:szCs w:val="24"/>
          <w:lang w:eastAsia="en-GB"/>
        </w:rPr>
        <w:t>Hull &amp; East Yorkshire</w:t>
      </w:r>
      <w:r w:rsidR="00311521">
        <w:rPr>
          <w:rFonts w:cs="Arial"/>
          <w:color w:val="000000"/>
          <w:szCs w:val="24"/>
          <w:lang w:eastAsia="en-GB"/>
        </w:rPr>
        <w:t xml:space="preserve"> area</w:t>
      </w:r>
      <w:r>
        <w:rPr>
          <w:rFonts w:cs="Arial"/>
          <w:color w:val="000000"/>
          <w:szCs w:val="24"/>
          <w:lang w:eastAsia="en-GB"/>
        </w:rPr>
        <w:t>) customer and competitor base</w:t>
      </w:r>
    </w:p>
    <w:p w:rsidR="00325E11" w:rsidRPr="00325E11" w:rsidRDefault="00325E11" w:rsidP="0069129C">
      <w:pPr>
        <w:numPr>
          <w:ilvl w:val="0"/>
          <w:numId w:val="45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Not operating in an EC restricted sector</w:t>
      </w:r>
    </w:p>
    <w:p w:rsidR="006E7EB9" w:rsidRDefault="006E7EB9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69129C" w:rsidRDefault="0069129C" w:rsidP="006E7EB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eastAsia="en-GB"/>
        </w:rPr>
      </w:pPr>
    </w:p>
    <w:p w:rsidR="006E7EB9" w:rsidRPr="006E7EB9" w:rsidRDefault="006E7EB9" w:rsidP="006E7EB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eastAsia="en-GB"/>
        </w:rPr>
      </w:pPr>
      <w:r>
        <w:rPr>
          <w:rFonts w:cs="Arial"/>
          <w:b/>
          <w:bCs/>
          <w:color w:val="000000"/>
          <w:szCs w:val="24"/>
          <w:lang w:eastAsia="en-GB"/>
        </w:rPr>
        <w:t xml:space="preserve">Micro </w:t>
      </w:r>
      <w:r w:rsidRPr="006E7EB9">
        <w:rPr>
          <w:rFonts w:cs="Arial"/>
          <w:b/>
          <w:bCs/>
          <w:color w:val="000000"/>
          <w:szCs w:val="24"/>
          <w:lang w:eastAsia="en-GB"/>
        </w:rPr>
        <w:t>Small and Medium Sized Enterprises</w:t>
      </w:r>
    </w:p>
    <w:p w:rsidR="006E7EB9" w:rsidRPr="00FD0EF2" w:rsidRDefault="006E7EB9" w:rsidP="006E7EB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eastAsia="en-GB"/>
        </w:rPr>
      </w:pPr>
    </w:p>
    <w:p w:rsidR="006E7EB9" w:rsidRPr="00FD0EF2" w:rsidRDefault="006E7EB9" w:rsidP="006E7EB9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 w:rsidRPr="00FD0EF2">
        <w:rPr>
          <w:rFonts w:cs="Arial"/>
          <w:color w:val="000000"/>
          <w:szCs w:val="24"/>
          <w:lang w:eastAsia="en-GB"/>
        </w:rPr>
        <w:t>The definitions of micro, small and medium-sized and large enterprises are summarised as follows:</w:t>
      </w:r>
    </w:p>
    <w:p w:rsidR="006E7EB9" w:rsidRPr="00FD0EF2" w:rsidRDefault="006E7EB9" w:rsidP="006E7EB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456"/>
        <w:gridCol w:w="2552"/>
      </w:tblGrid>
      <w:tr w:rsidR="006E7EB9" w:rsidRPr="00FD0EF2" w:rsidTr="006E7EB9">
        <w:trPr>
          <w:jc w:val="center"/>
        </w:trPr>
        <w:tc>
          <w:tcPr>
            <w:tcW w:w="1668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Category</w:t>
            </w:r>
          </w:p>
        </w:tc>
        <w:tc>
          <w:tcPr>
            <w:tcW w:w="1842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Headcount</w:t>
            </w:r>
          </w:p>
        </w:tc>
        <w:tc>
          <w:tcPr>
            <w:tcW w:w="1985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Turnover</w:t>
            </w:r>
          </w:p>
        </w:tc>
        <w:tc>
          <w:tcPr>
            <w:tcW w:w="456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or</w:t>
            </w:r>
          </w:p>
        </w:tc>
        <w:tc>
          <w:tcPr>
            <w:tcW w:w="2552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Balance Sheet Total</w:t>
            </w:r>
          </w:p>
        </w:tc>
      </w:tr>
      <w:tr w:rsidR="006E7EB9" w:rsidRPr="00FD0EF2" w:rsidTr="006E7EB9">
        <w:trPr>
          <w:trHeight w:val="509"/>
          <w:jc w:val="center"/>
        </w:trPr>
        <w:tc>
          <w:tcPr>
            <w:tcW w:w="1668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Cs/>
                <w:color w:val="000000"/>
                <w:szCs w:val="24"/>
                <w:lang w:eastAsia="en-GB"/>
              </w:rPr>
              <w:t xml:space="preserve">Medium </w:t>
            </w:r>
          </w:p>
        </w:tc>
        <w:tc>
          <w:tcPr>
            <w:tcW w:w="1842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Cs/>
                <w:color w:val="000000"/>
                <w:szCs w:val="24"/>
                <w:lang w:eastAsia="en-GB"/>
              </w:rPr>
              <w:t>50 - 249</w:t>
            </w:r>
          </w:p>
        </w:tc>
        <w:tc>
          <w:tcPr>
            <w:tcW w:w="1985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eastAsia="en-GB"/>
              </w:rPr>
            </w:pPr>
            <w:r w:rsidRPr="00FD0EF2">
              <w:rPr>
                <w:rFonts w:cs="Arial"/>
                <w:bCs/>
                <w:color w:val="000000"/>
                <w:szCs w:val="24"/>
                <w:lang w:eastAsia="en-GB"/>
              </w:rPr>
              <w:t xml:space="preserve">Not exceeding </w:t>
            </w:r>
            <w:r w:rsidRPr="00FD0EF2">
              <w:rPr>
                <w:rFonts w:cs="Arial"/>
                <w:szCs w:val="24"/>
                <w:lang w:eastAsia="en-GB"/>
              </w:rPr>
              <w:t>€50m</w:t>
            </w:r>
          </w:p>
        </w:tc>
        <w:tc>
          <w:tcPr>
            <w:tcW w:w="456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eastAsia="en-GB"/>
              </w:rPr>
            </w:pPr>
            <w:r w:rsidRPr="00FD0EF2">
              <w:rPr>
                <w:rFonts w:cs="Arial"/>
                <w:szCs w:val="24"/>
                <w:lang w:eastAsia="en-GB"/>
              </w:rPr>
              <w:t>Not exceeding</w:t>
            </w:r>
          </w:p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eastAsia="en-GB"/>
              </w:rPr>
            </w:pPr>
            <w:r w:rsidRPr="00FD0EF2">
              <w:rPr>
                <w:rFonts w:cs="Arial"/>
                <w:szCs w:val="24"/>
                <w:lang w:eastAsia="en-GB"/>
              </w:rPr>
              <w:t>€43m</w:t>
            </w:r>
          </w:p>
        </w:tc>
      </w:tr>
      <w:tr w:rsidR="006E7EB9" w:rsidRPr="00FD0EF2" w:rsidTr="006E7EB9">
        <w:trPr>
          <w:trHeight w:val="559"/>
          <w:jc w:val="center"/>
        </w:trPr>
        <w:tc>
          <w:tcPr>
            <w:tcW w:w="1668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Cs/>
                <w:color w:val="000000"/>
                <w:szCs w:val="24"/>
                <w:lang w:eastAsia="en-GB"/>
              </w:rPr>
              <w:t>Small</w:t>
            </w:r>
          </w:p>
        </w:tc>
        <w:tc>
          <w:tcPr>
            <w:tcW w:w="1842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Cs/>
                <w:color w:val="000000"/>
                <w:szCs w:val="24"/>
                <w:lang w:eastAsia="en-GB"/>
              </w:rPr>
              <w:t>10 - 49</w:t>
            </w:r>
          </w:p>
        </w:tc>
        <w:tc>
          <w:tcPr>
            <w:tcW w:w="1985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Cs/>
                <w:color w:val="000000"/>
                <w:szCs w:val="24"/>
                <w:lang w:eastAsia="en-GB"/>
              </w:rPr>
              <w:t xml:space="preserve">Not exceeding </w:t>
            </w:r>
            <w:r w:rsidRPr="00FD0EF2">
              <w:rPr>
                <w:rFonts w:cs="Arial"/>
                <w:szCs w:val="24"/>
                <w:lang w:eastAsia="en-GB"/>
              </w:rPr>
              <w:t>€10m</w:t>
            </w:r>
          </w:p>
        </w:tc>
        <w:tc>
          <w:tcPr>
            <w:tcW w:w="456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Cs/>
                <w:color w:val="000000"/>
                <w:szCs w:val="24"/>
                <w:lang w:eastAsia="en-GB"/>
              </w:rPr>
              <w:t xml:space="preserve">Not exceeding </w:t>
            </w:r>
            <w:r w:rsidRPr="00FD0EF2">
              <w:rPr>
                <w:rFonts w:cs="Arial"/>
                <w:szCs w:val="24"/>
                <w:lang w:eastAsia="en-GB"/>
              </w:rPr>
              <w:t>€10m</w:t>
            </w:r>
          </w:p>
        </w:tc>
      </w:tr>
      <w:tr w:rsidR="006E7EB9" w:rsidRPr="00FD0EF2" w:rsidTr="006E7EB9">
        <w:trPr>
          <w:trHeight w:val="423"/>
          <w:jc w:val="center"/>
        </w:trPr>
        <w:tc>
          <w:tcPr>
            <w:tcW w:w="1668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Cs/>
                <w:color w:val="000000"/>
                <w:szCs w:val="24"/>
                <w:lang w:eastAsia="en-GB"/>
              </w:rPr>
              <w:t>Micro</w:t>
            </w:r>
          </w:p>
        </w:tc>
        <w:tc>
          <w:tcPr>
            <w:tcW w:w="1842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Cs/>
                <w:color w:val="000000"/>
                <w:szCs w:val="24"/>
                <w:lang w:eastAsia="en-GB"/>
              </w:rPr>
              <w:t>1-9</w:t>
            </w:r>
          </w:p>
        </w:tc>
        <w:tc>
          <w:tcPr>
            <w:tcW w:w="1985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Cs/>
                <w:color w:val="000000"/>
                <w:szCs w:val="24"/>
                <w:lang w:eastAsia="en-GB"/>
              </w:rPr>
              <w:t xml:space="preserve">Not exceeding </w:t>
            </w:r>
            <w:r w:rsidRPr="00FD0EF2">
              <w:rPr>
                <w:rFonts w:cs="Arial"/>
                <w:szCs w:val="24"/>
                <w:lang w:eastAsia="en-GB"/>
              </w:rPr>
              <w:t>€2m</w:t>
            </w:r>
          </w:p>
        </w:tc>
        <w:tc>
          <w:tcPr>
            <w:tcW w:w="456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6E7EB9" w:rsidRPr="00FD0EF2" w:rsidRDefault="006E7EB9" w:rsidP="006E7E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Cs w:val="24"/>
                <w:lang w:eastAsia="en-GB"/>
              </w:rPr>
            </w:pPr>
            <w:r w:rsidRPr="00FD0EF2">
              <w:rPr>
                <w:rFonts w:cs="Arial"/>
                <w:bCs/>
                <w:color w:val="000000"/>
                <w:szCs w:val="24"/>
                <w:lang w:eastAsia="en-GB"/>
              </w:rPr>
              <w:t xml:space="preserve">Not exceeding </w:t>
            </w:r>
            <w:r w:rsidRPr="00FD0EF2">
              <w:rPr>
                <w:rFonts w:cs="Arial"/>
                <w:szCs w:val="24"/>
                <w:lang w:eastAsia="en-GB"/>
              </w:rPr>
              <w:t>€2m</w:t>
            </w:r>
          </w:p>
        </w:tc>
      </w:tr>
    </w:tbl>
    <w:p w:rsidR="006E7EB9" w:rsidRDefault="006E7EB9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311521" w:rsidRDefault="00311521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F0354E" w:rsidRDefault="00F0354E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F0354E" w:rsidRDefault="00F0354E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F0354E" w:rsidRDefault="00F0354E" w:rsidP="00EB3245">
      <w:pPr>
        <w:autoSpaceDE w:val="0"/>
        <w:autoSpaceDN w:val="0"/>
        <w:adjustRightInd w:val="0"/>
        <w:jc w:val="right"/>
        <w:rPr>
          <w:rFonts w:cs="Arial"/>
          <w:b/>
          <w:color w:val="000000"/>
          <w:szCs w:val="24"/>
          <w:lang w:eastAsia="en-GB"/>
        </w:rPr>
      </w:pPr>
    </w:p>
    <w:p w:rsidR="00EB3245" w:rsidRDefault="00EB3245" w:rsidP="00EB3245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  <w:r>
        <w:rPr>
          <w:rFonts w:cs="Arial"/>
          <w:b/>
          <w:color w:val="000000"/>
          <w:szCs w:val="24"/>
          <w:lang w:eastAsia="en-GB"/>
        </w:rPr>
        <w:t>Assisted Areas</w:t>
      </w:r>
    </w:p>
    <w:p w:rsidR="00EB3245" w:rsidRPr="00EB3245" w:rsidRDefault="00EB3245" w:rsidP="00EB3245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Some</w:t>
      </w:r>
      <w:r w:rsidRPr="00766C12">
        <w:rPr>
          <w:rFonts w:cs="Helvetica"/>
          <w:lang w:val="en-US"/>
        </w:rPr>
        <w:t xml:space="preserve"> electoral wards in Hull and East Yorkshire previously benefitted from Assisted Area Status. This meant that companies operating in these areas were able to access enhanced support as a result of their location. </w:t>
      </w:r>
    </w:p>
    <w:p w:rsidR="006E7EB9" w:rsidRDefault="006E7EB9" w:rsidP="00FD0EF2">
      <w:pPr>
        <w:autoSpaceDE w:val="0"/>
        <w:autoSpaceDN w:val="0"/>
        <w:adjustRightInd w:val="0"/>
        <w:jc w:val="both"/>
        <w:rPr>
          <w:rFonts w:cs="Helvetica"/>
          <w:color w:val="333333"/>
          <w:lang w:val="en-US"/>
        </w:rPr>
      </w:pPr>
    </w:p>
    <w:p w:rsidR="00EB3245" w:rsidRPr="00766C12" w:rsidRDefault="00EB3245" w:rsidP="00EB324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cs="Arial"/>
          <w:b/>
          <w:szCs w:val="24"/>
          <w:lang w:eastAsia="en-GB"/>
        </w:rPr>
      </w:pPr>
      <w:r>
        <w:rPr>
          <w:rFonts w:cs="Helvetica"/>
          <w:lang w:val="en-US"/>
        </w:rPr>
        <w:t>To check whether your area previously had</w:t>
      </w:r>
      <w:r w:rsidRPr="00766C12">
        <w:rPr>
          <w:rFonts w:cs="Helvetica"/>
          <w:lang w:val="en-US"/>
        </w:rPr>
        <w:t xml:space="preserve"> Assisted Area status, use the online tool at - </w:t>
      </w:r>
      <w:hyperlink r:id="rId7" w:history="1">
        <w:r w:rsidRPr="00766C12">
          <w:rPr>
            <w:rStyle w:val="Hyperlink"/>
            <w:rFonts w:cs="Helvetica"/>
            <w:lang w:val="en-US"/>
          </w:rPr>
          <w:t>www.ukassistedareasmap.com</w:t>
        </w:r>
      </w:hyperlink>
    </w:p>
    <w:p w:rsidR="00EA46CE" w:rsidRDefault="00EA46CE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6E7EB9" w:rsidRDefault="006E7EB9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6E7EB9" w:rsidRDefault="006E7EB9" w:rsidP="006E7EB9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  <w:r>
        <w:rPr>
          <w:rFonts w:cs="Arial"/>
          <w:b/>
          <w:color w:val="000000"/>
          <w:szCs w:val="24"/>
          <w:lang w:eastAsia="en-GB"/>
        </w:rPr>
        <w:t>Levels of Assistance</w:t>
      </w:r>
    </w:p>
    <w:p w:rsidR="006E7EB9" w:rsidRDefault="006E7EB9" w:rsidP="006E7EB9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B10C65" w:rsidRPr="00FD0EF2" w:rsidRDefault="00B10C65" w:rsidP="00B10C6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 w:rsidRPr="00FD0EF2">
        <w:rPr>
          <w:rFonts w:cs="Arial"/>
          <w:color w:val="000000"/>
          <w:szCs w:val="24"/>
          <w:lang w:eastAsia="en-GB"/>
        </w:rPr>
        <w:t xml:space="preserve">The </w:t>
      </w:r>
      <w:r>
        <w:rPr>
          <w:rFonts w:cs="Arial"/>
          <w:color w:val="000000"/>
          <w:szCs w:val="24"/>
          <w:lang w:eastAsia="en-GB"/>
        </w:rPr>
        <w:t>minimum grant available is £5,000 and the max</w:t>
      </w:r>
      <w:r w:rsidR="0069129C">
        <w:rPr>
          <w:rFonts w:cs="Arial"/>
          <w:color w:val="000000"/>
          <w:szCs w:val="24"/>
          <w:lang w:eastAsia="en-GB"/>
        </w:rPr>
        <w:t>imum grant available is £250,000</w:t>
      </w:r>
      <w:r>
        <w:rPr>
          <w:rFonts w:cs="Arial"/>
          <w:color w:val="000000"/>
          <w:szCs w:val="24"/>
          <w:lang w:eastAsia="en-GB"/>
        </w:rPr>
        <w:t xml:space="preserve">. </w:t>
      </w:r>
    </w:p>
    <w:p w:rsidR="00B10C65" w:rsidRDefault="00B10C65" w:rsidP="006E7EB9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6E7EB9" w:rsidRDefault="00EB3245" w:rsidP="006E7EB9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 w:rsidRPr="008E623E">
        <w:rPr>
          <w:rFonts w:cs="Arial"/>
          <w:color w:val="000000"/>
          <w:szCs w:val="24"/>
          <w:lang w:eastAsia="en-GB"/>
        </w:rPr>
        <w:t xml:space="preserve">Grants are awarded as a percentage (intervention rate) of the eligible project costs and will not exceed the maximum thresholds previously considered under State Aid regulations. </w:t>
      </w:r>
      <w:r w:rsidR="006E7EB9">
        <w:rPr>
          <w:rFonts w:cs="Arial"/>
          <w:color w:val="000000"/>
          <w:szCs w:val="24"/>
          <w:lang w:eastAsia="en-GB"/>
        </w:rPr>
        <w:t xml:space="preserve">The remaining funding must come from a non-public source (e.g. bank loan, asset finance, company funds </w:t>
      </w:r>
      <w:r w:rsidR="00C84C4B">
        <w:rPr>
          <w:rFonts w:cs="Arial"/>
          <w:color w:val="000000"/>
          <w:szCs w:val="24"/>
          <w:lang w:eastAsia="en-GB"/>
        </w:rPr>
        <w:t>etc.</w:t>
      </w:r>
      <w:r w:rsidR="006E7EB9">
        <w:rPr>
          <w:rFonts w:cs="Arial"/>
          <w:color w:val="000000"/>
          <w:szCs w:val="24"/>
          <w:lang w:eastAsia="en-GB"/>
        </w:rPr>
        <w:t xml:space="preserve">) </w:t>
      </w:r>
    </w:p>
    <w:p w:rsidR="006E7EB9" w:rsidRDefault="006E7EB9" w:rsidP="006E7EB9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EB3245" w:rsidRPr="008E623E" w:rsidRDefault="00EB3245" w:rsidP="00EB3245">
      <w:pPr>
        <w:autoSpaceDE w:val="0"/>
        <w:autoSpaceDN w:val="0"/>
        <w:adjustRightInd w:val="0"/>
        <w:jc w:val="both"/>
        <w:rPr>
          <w:rFonts w:cs="Arial"/>
          <w:b/>
          <w:szCs w:val="24"/>
          <w:lang w:eastAsia="en-GB"/>
        </w:rPr>
      </w:pPr>
      <w:r w:rsidRPr="008E623E">
        <w:rPr>
          <w:rFonts w:cs="Arial"/>
          <w:szCs w:val="24"/>
        </w:rPr>
        <w:t xml:space="preserve">The programme will apply the following </w:t>
      </w:r>
      <w:r w:rsidRPr="008E623E">
        <w:rPr>
          <w:rFonts w:cs="Arial"/>
          <w:szCs w:val="24"/>
          <w:u w:val="single"/>
        </w:rPr>
        <w:t>maximum</w:t>
      </w:r>
      <w:r w:rsidRPr="008E623E">
        <w:rPr>
          <w:rFonts w:cs="Arial"/>
          <w:szCs w:val="24"/>
        </w:rPr>
        <w:t xml:space="preserve"> grant thresholds:</w:t>
      </w:r>
    </w:p>
    <w:p w:rsidR="006E7EB9" w:rsidRPr="008A5EF7" w:rsidRDefault="006E7EB9" w:rsidP="006E7EB9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.</w:t>
      </w:r>
    </w:p>
    <w:p w:rsidR="006E7EB9" w:rsidRDefault="006E7EB9" w:rsidP="006E7EB9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E7EB9" w:rsidRPr="00DE356D" w:rsidTr="006E7EB9">
        <w:trPr>
          <w:jc w:val="center"/>
        </w:trPr>
        <w:tc>
          <w:tcPr>
            <w:tcW w:w="4620" w:type="dxa"/>
            <w:gridSpan w:val="2"/>
          </w:tcPr>
          <w:p w:rsidR="006E7EB9" w:rsidRPr="00DE356D" w:rsidRDefault="006E7EB9" w:rsidP="006E7E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Micro and </w:t>
            </w:r>
            <w:r w:rsidRPr="00DE356D">
              <w:rPr>
                <w:rFonts w:cs="Arial"/>
                <w:b/>
              </w:rPr>
              <w:t>Small</w:t>
            </w:r>
            <w:r>
              <w:rPr>
                <w:rFonts w:cs="Arial"/>
                <w:b/>
              </w:rPr>
              <w:t xml:space="preserve"> Enterprises</w:t>
            </w:r>
          </w:p>
        </w:tc>
        <w:tc>
          <w:tcPr>
            <w:tcW w:w="4622" w:type="dxa"/>
            <w:gridSpan w:val="2"/>
          </w:tcPr>
          <w:p w:rsidR="006E7EB9" w:rsidRPr="00DE356D" w:rsidRDefault="006E7EB9" w:rsidP="006E7EB9">
            <w:pPr>
              <w:jc w:val="center"/>
              <w:rPr>
                <w:rFonts w:cs="Arial"/>
                <w:b/>
              </w:rPr>
            </w:pPr>
            <w:r w:rsidRPr="00DE356D">
              <w:rPr>
                <w:rFonts w:cs="Arial"/>
                <w:b/>
              </w:rPr>
              <w:t>Medium</w:t>
            </w:r>
            <w:r>
              <w:rPr>
                <w:rFonts w:cs="Arial"/>
                <w:b/>
              </w:rPr>
              <w:t xml:space="preserve"> Enterprises</w:t>
            </w:r>
          </w:p>
        </w:tc>
      </w:tr>
      <w:tr w:rsidR="006E7EB9" w:rsidRPr="00DE356D" w:rsidTr="006E7EB9">
        <w:trPr>
          <w:jc w:val="center"/>
        </w:trPr>
        <w:tc>
          <w:tcPr>
            <w:tcW w:w="2310" w:type="dxa"/>
          </w:tcPr>
          <w:p w:rsidR="006E7EB9" w:rsidRPr="00DE356D" w:rsidRDefault="006E7EB9" w:rsidP="006E7EB9">
            <w:pPr>
              <w:jc w:val="center"/>
              <w:rPr>
                <w:rFonts w:cs="Arial"/>
              </w:rPr>
            </w:pPr>
            <w:r w:rsidRPr="00DE356D">
              <w:rPr>
                <w:rFonts w:cs="Arial"/>
              </w:rPr>
              <w:t>Ass</w:t>
            </w:r>
            <w:r>
              <w:rPr>
                <w:rFonts w:cs="Arial"/>
              </w:rPr>
              <w:t>isted</w:t>
            </w:r>
            <w:r w:rsidRPr="00DE356D">
              <w:rPr>
                <w:rFonts w:cs="Arial"/>
              </w:rPr>
              <w:t xml:space="preserve"> Area</w:t>
            </w:r>
          </w:p>
        </w:tc>
        <w:tc>
          <w:tcPr>
            <w:tcW w:w="2310" w:type="dxa"/>
          </w:tcPr>
          <w:p w:rsidR="006E7EB9" w:rsidRPr="00DE356D" w:rsidRDefault="006E7EB9" w:rsidP="006E7EB9">
            <w:pPr>
              <w:jc w:val="center"/>
              <w:rPr>
                <w:rFonts w:cs="Arial"/>
              </w:rPr>
            </w:pPr>
            <w:r w:rsidRPr="00DE356D">
              <w:rPr>
                <w:rFonts w:cs="Arial"/>
              </w:rPr>
              <w:t>Non-Ass</w:t>
            </w:r>
            <w:r>
              <w:rPr>
                <w:rFonts w:cs="Arial"/>
              </w:rPr>
              <w:t>isted</w:t>
            </w:r>
            <w:r w:rsidRPr="00DE356D">
              <w:rPr>
                <w:rFonts w:cs="Arial"/>
              </w:rPr>
              <w:t xml:space="preserve"> area</w:t>
            </w:r>
          </w:p>
        </w:tc>
        <w:tc>
          <w:tcPr>
            <w:tcW w:w="2311" w:type="dxa"/>
          </w:tcPr>
          <w:p w:rsidR="006E7EB9" w:rsidRPr="00DE356D" w:rsidRDefault="006E7EB9" w:rsidP="006E7EB9">
            <w:pPr>
              <w:jc w:val="center"/>
              <w:rPr>
                <w:rFonts w:cs="Arial"/>
              </w:rPr>
            </w:pPr>
            <w:r w:rsidRPr="00DE356D">
              <w:rPr>
                <w:rFonts w:cs="Arial"/>
              </w:rPr>
              <w:t>Ass</w:t>
            </w:r>
            <w:r>
              <w:rPr>
                <w:rFonts w:cs="Arial"/>
              </w:rPr>
              <w:t>isted</w:t>
            </w:r>
            <w:r w:rsidRPr="00DE356D">
              <w:rPr>
                <w:rFonts w:cs="Arial"/>
              </w:rPr>
              <w:t xml:space="preserve"> Area</w:t>
            </w:r>
          </w:p>
        </w:tc>
        <w:tc>
          <w:tcPr>
            <w:tcW w:w="2311" w:type="dxa"/>
          </w:tcPr>
          <w:p w:rsidR="006E7EB9" w:rsidRPr="00DE356D" w:rsidRDefault="006E7EB9" w:rsidP="006E7EB9">
            <w:pPr>
              <w:jc w:val="center"/>
              <w:rPr>
                <w:rFonts w:cs="Arial"/>
              </w:rPr>
            </w:pPr>
            <w:r w:rsidRPr="00DE356D">
              <w:rPr>
                <w:rFonts w:cs="Arial"/>
              </w:rPr>
              <w:t>Non-Ass</w:t>
            </w:r>
            <w:r>
              <w:rPr>
                <w:rFonts w:cs="Arial"/>
              </w:rPr>
              <w:t>isted</w:t>
            </w:r>
            <w:r w:rsidRPr="00DE356D">
              <w:rPr>
                <w:rFonts w:cs="Arial"/>
              </w:rPr>
              <w:t xml:space="preserve"> area</w:t>
            </w:r>
          </w:p>
        </w:tc>
      </w:tr>
      <w:tr w:rsidR="006E7EB9" w:rsidRPr="00DE356D" w:rsidTr="006E7EB9">
        <w:trPr>
          <w:jc w:val="center"/>
        </w:trPr>
        <w:tc>
          <w:tcPr>
            <w:tcW w:w="2310" w:type="dxa"/>
          </w:tcPr>
          <w:p w:rsidR="006E7EB9" w:rsidRPr="00DE356D" w:rsidRDefault="001E50BD" w:rsidP="006E7E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6E7EB9" w:rsidRPr="00DE356D">
              <w:rPr>
                <w:rFonts w:cs="Arial"/>
                <w:b/>
              </w:rPr>
              <w:t>%</w:t>
            </w:r>
          </w:p>
        </w:tc>
        <w:tc>
          <w:tcPr>
            <w:tcW w:w="2310" w:type="dxa"/>
          </w:tcPr>
          <w:p w:rsidR="006E7EB9" w:rsidRPr="00DE356D" w:rsidRDefault="001E50BD" w:rsidP="006E7E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6E7EB9" w:rsidRPr="00DE356D">
              <w:rPr>
                <w:rFonts w:cs="Arial"/>
                <w:b/>
              </w:rPr>
              <w:t>%</w:t>
            </w:r>
          </w:p>
        </w:tc>
        <w:tc>
          <w:tcPr>
            <w:tcW w:w="2311" w:type="dxa"/>
          </w:tcPr>
          <w:p w:rsidR="006E7EB9" w:rsidRPr="00DE356D" w:rsidRDefault="001E50BD" w:rsidP="006E7E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6E7EB9" w:rsidRPr="00DE356D">
              <w:rPr>
                <w:rFonts w:cs="Arial"/>
                <w:b/>
              </w:rPr>
              <w:t>%</w:t>
            </w:r>
          </w:p>
        </w:tc>
        <w:tc>
          <w:tcPr>
            <w:tcW w:w="2311" w:type="dxa"/>
          </w:tcPr>
          <w:p w:rsidR="006E7EB9" w:rsidRPr="00DE356D" w:rsidRDefault="006E7EB9" w:rsidP="006E7EB9">
            <w:pPr>
              <w:jc w:val="center"/>
              <w:rPr>
                <w:rFonts w:cs="Arial"/>
                <w:b/>
              </w:rPr>
            </w:pPr>
            <w:r w:rsidRPr="00DE356D">
              <w:rPr>
                <w:rFonts w:cs="Arial"/>
                <w:b/>
              </w:rPr>
              <w:t>10%</w:t>
            </w:r>
          </w:p>
        </w:tc>
      </w:tr>
    </w:tbl>
    <w:p w:rsidR="006E7EB9" w:rsidRDefault="006E7EB9" w:rsidP="006E7EB9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1E50BD" w:rsidRPr="001E50BD" w:rsidRDefault="001E50BD" w:rsidP="006E7EB9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N.B. </w:t>
      </w:r>
      <w:r w:rsidRPr="001E50BD">
        <w:rPr>
          <w:rFonts w:cs="Arial"/>
          <w:color w:val="000000"/>
          <w:szCs w:val="24"/>
          <w:lang w:eastAsia="en-GB"/>
        </w:rPr>
        <w:t xml:space="preserve">The programme has challenging targets for private sector leverage and </w:t>
      </w:r>
      <w:r w:rsidR="00B9484A">
        <w:rPr>
          <w:rFonts w:cs="Arial"/>
          <w:color w:val="000000"/>
          <w:szCs w:val="24"/>
          <w:lang w:eastAsia="en-GB"/>
        </w:rPr>
        <w:t>number of businesses supported. T</w:t>
      </w:r>
      <w:r w:rsidRPr="001E50BD">
        <w:rPr>
          <w:rFonts w:cs="Arial"/>
          <w:color w:val="000000"/>
          <w:szCs w:val="24"/>
          <w:lang w:eastAsia="en-GB"/>
        </w:rPr>
        <w:t xml:space="preserve">he programme administrators reserve the right to </w:t>
      </w:r>
      <w:r>
        <w:rPr>
          <w:rFonts w:cs="Arial"/>
          <w:color w:val="000000"/>
          <w:szCs w:val="24"/>
          <w:lang w:eastAsia="en-GB"/>
        </w:rPr>
        <w:t xml:space="preserve">introduce a cap on intervention rates </w:t>
      </w:r>
      <w:r w:rsidR="00B9484A">
        <w:rPr>
          <w:rFonts w:cs="Arial"/>
          <w:color w:val="000000"/>
          <w:szCs w:val="24"/>
          <w:lang w:eastAsia="en-GB"/>
        </w:rPr>
        <w:t xml:space="preserve">or reduce the maximum grant threshold </w:t>
      </w:r>
      <w:r>
        <w:rPr>
          <w:rFonts w:cs="Arial"/>
          <w:color w:val="000000"/>
          <w:szCs w:val="24"/>
          <w:lang w:eastAsia="en-GB"/>
        </w:rPr>
        <w:t>if the programme cannot meet its target</w:t>
      </w:r>
      <w:r w:rsidR="00B9484A">
        <w:rPr>
          <w:rFonts w:cs="Arial"/>
          <w:color w:val="000000"/>
          <w:szCs w:val="24"/>
          <w:lang w:eastAsia="en-GB"/>
        </w:rPr>
        <w:t>s</w:t>
      </w:r>
      <w:r w:rsidR="00311521">
        <w:rPr>
          <w:rFonts w:cs="Arial"/>
          <w:color w:val="000000"/>
          <w:szCs w:val="24"/>
          <w:lang w:eastAsia="en-GB"/>
        </w:rPr>
        <w:t>.</w:t>
      </w:r>
    </w:p>
    <w:p w:rsidR="006E7EB9" w:rsidRDefault="006E7EB9" w:rsidP="006E7EB9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EB2669" w:rsidRPr="00FD0EF2" w:rsidRDefault="00EB2669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  <w:r>
        <w:rPr>
          <w:rFonts w:cs="Arial"/>
          <w:b/>
          <w:color w:val="000000"/>
          <w:szCs w:val="24"/>
          <w:lang w:eastAsia="en-GB"/>
        </w:rPr>
        <w:t>Eligible costs</w:t>
      </w:r>
    </w:p>
    <w:p w:rsidR="00325E11" w:rsidRDefault="00325E11" w:rsidP="008E688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325E11" w:rsidRDefault="00311521" w:rsidP="0069129C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color w:val="000000"/>
          <w:szCs w:val="24"/>
          <w:lang w:eastAsia="en-GB"/>
        </w:rPr>
        <w:t>G</w:t>
      </w:r>
      <w:r w:rsidR="00AA7569">
        <w:rPr>
          <w:rFonts w:cs="Arial"/>
          <w:color w:val="000000"/>
          <w:szCs w:val="24"/>
          <w:lang w:eastAsia="en-GB"/>
        </w:rPr>
        <w:t xml:space="preserve">rants </w:t>
      </w:r>
      <w:r w:rsidR="00325E11" w:rsidRPr="00FD0EF2">
        <w:rPr>
          <w:rFonts w:cs="Arial"/>
          <w:color w:val="000000"/>
          <w:szCs w:val="24"/>
          <w:lang w:eastAsia="en-GB"/>
        </w:rPr>
        <w:t xml:space="preserve">can contribute to </w:t>
      </w:r>
      <w:r w:rsidR="00AA7569">
        <w:rPr>
          <w:rFonts w:cs="Arial"/>
          <w:szCs w:val="24"/>
        </w:rPr>
        <w:t>i</w:t>
      </w:r>
      <w:r w:rsidR="00325E11" w:rsidRPr="00FD0EF2">
        <w:rPr>
          <w:rFonts w:cs="Arial"/>
          <w:szCs w:val="24"/>
        </w:rPr>
        <w:t>nvestment in tangible assets relating to</w:t>
      </w:r>
      <w:r w:rsidR="00325E11">
        <w:rPr>
          <w:rFonts w:cs="Arial"/>
          <w:szCs w:val="24"/>
        </w:rPr>
        <w:t>:</w:t>
      </w:r>
      <w:r w:rsidR="00325E11" w:rsidRPr="00FD0EF2">
        <w:rPr>
          <w:rFonts w:cs="Arial"/>
          <w:szCs w:val="24"/>
        </w:rPr>
        <w:t xml:space="preserve"> </w:t>
      </w:r>
    </w:p>
    <w:p w:rsidR="00325E11" w:rsidRDefault="00325E11" w:rsidP="00325E11">
      <w:pPr>
        <w:autoSpaceDE w:val="0"/>
        <w:autoSpaceDN w:val="0"/>
        <w:adjustRightInd w:val="0"/>
        <w:ind w:firstLine="426"/>
        <w:jc w:val="both"/>
        <w:rPr>
          <w:rFonts w:cs="Arial"/>
          <w:szCs w:val="24"/>
        </w:rPr>
      </w:pPr>
    </w:p>
    <w:p w:rsidR="00325E11" w:rsidRDefault="00325E11" w:rsidP="00325E11">
      <w:pPr>
        <w:numPr>
          <w:ilvl w:val="0"/>
          <w:numId w:val="39"/>
        </w:numPr>
        <w:autoSpaceDE w:val="0"/>
        <w:autoSpaceDN w:val="0"/>
        <w:adjustRightInd w:val="0"/>
        <w:ind w:firstLine="66"/>
        <w:jc w:val="both"/>
        <w:rPr>
          <w:rFonts w:cs="Arial"/>
          <w:szCs w:val="24"/>
        </w:rPr>
      </w:pPr>
      <w:r w:rsidRPr="00FD0EF2">
        <w:rPr>
          <w:rFonts w:cs="Arial"/>
          <w:szCs w:val="24"/>
        </w:rPr>
        <w:t xml:space="preserve">the setting up of a new establishment </w:t>
      </w:r>
      <w:r>
        <w:rPr>
          <w:rFonts w:cs="Arial"/>
          <w:szCs w:val="24"/>
        </w:rPr>
        <w:t>within an existing company structure</w:t>
      </w:r>
    </w:p>
    <w:p w:rsidR="00325E11" w:rsidRDefault="00325E11" w:rsidP="00325E11">
      <w:pPr>
        <w:numPr>
          <w:ilvl w:val="0"/>
          <w:numId w:val="39"/>
        </w:numPr>
        <w:autoSpaceDE w:val="0"/>
        <w:autoSpaceDN w:val="0"/>
        <w:adjustRightInd w:val="0"/>
        <w:ind w:firstLine="66"/>
        <w:jc w:val="both"/>
        <w:rPr>
          <w:rFonts w:cs="Arial"/>
          <w:szCs w:val="24"/>
        </w:rPr>
      </w:pPr>
      <w:r w:rsidRPr="00FD0EF2">
        <w:rPr>
          <w:rFonts w:cs="Arial"/>
          <w:szCs w:val="24"/>
        </w:rPr>
        <w:t>the extension of an existing establishment</w:t>
      </w:r>
    </w:p>
    <w:p w:rsidR="00325E11" w:rsidRDefault="00325E11" w:rsidP="00325E11">
      <w:pPr>
        <w:numPr>
          <w:ilvl w:val="0"/>
          <w:numId w:val="39"/>
        </w:numPr>
        <w:autoSpaceDE w:val="0"/>
        <w:autoSpaceDN w:val="0"/>
        <w:adjustRightInd w:val="0"/>
        <w:ind w:firstLine="66"/>
        <w:jc w:val="both"/>
        <w:rPr>
          <w:rFonts w:cs="Arial"/>
          <w:szCs w:val="24"/>
        </w:rPr>
      </w:pPr>
      <w:r w:rsidRPr="00FD0EF2">
        <w:rPr>
          <w:rFonts w:cs="Arial"/>
          <w:szCs w:val="24"/>
        </w:rPr>
        <w:t xml:space="preserve">diversification of the output of an establishment into new additional products </w:t>
      </w:r>
    </w:p>
    <w:p w:rsidR="00325E11" w:rsidRDefault="00325E11" w:rsidP="00325E11">
      <w:pPr>
        <w:numPr>
          <w:ilvl w:val="0"/>
          <w:numId w:val="39"/>
        </w:numPr>
        <w:autoSpaceDE w:val="0"/>
        <w:autoSpaceDN w:val="0"/>
        <w:adjustRightInd w:val="0"/>
        <w:ind w:firstLine="66"/>
        <w:jc w:val="both"/>
        <w:rPr>
          <w:rFonts w:cs="Arial"/>
          <w:szCs w:val="24"/>
        </w:rPr>
      </w:pPr>
      <w:r w:rsidRPr="00FD0EF2">
        <w:rPr>
          <w:rFonts w:cs="Arial"/>
          <w:szCs w:val="24"/>
        </w:rPr>
        <w:t xml:space="preserve">a fundamental change in the overall production process of an existing establishment.  </w:t>
      </w:r>
    </w:p>
    <w:p w:rsidR="00325E11" w:rsidRDefault="00325E11" w:rsidP="00325E11">
      <w:pPr>
        <w:autoSpaceDE w:val="0"/>
        <w:autoSpaceDN w:val="0"/>
        <w:adjustRightInd w:val="0"/>
        <w:ind w:firstLine="66"/>
        <w:jc w:val="both"/>
        <w:rPr>
          <w:rFonts w:cs="Arial"/>
          <w:color w:val="000000"/>
          <w:szCs w:val="24"/>
          <w:lang w:eastAsia="en-GB"/>
        </w:rPr>
      </w:pPr>
    </w:p>
    <w:p w:rsidR="00325E11" w:rsidRDefault="00325E11" w:rsidP="008E688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Businesses may seek funding to support the following costs:</w:t>
      </w:r>
    </w:p>
    <w:p w:rsidR="00325E11" w:rsidRDefault="00325E11" w:rsidP="008E688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325E11" w:rsidRDefault="00325E11" w:rsidP="00325E1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Purchase of equipment, plant or machinery</w:t>
      </w:r>
    </w:p>
    <w:p w:rsidR="00325E11" w:rsidRDefault="00325E11" w:rsidP="00325E1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Refurbishments and alterations to premises (excluding essential maintenance)</w:t>
      </w:r>
    </w:p>
    <w:p w:rsidR="0086074C" w:rsidRDefault="0086074C" w:rsidP="00325E1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Construction of extensions to premises</w:t>
      </w:r>
    </w:p>
    <w:p w:rsidR="00325E11" w:rsidRDefault="00325E11" w:rsidP="00325E1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Purchase of furniture and associated hardware </w:t>
      </w:r>
    </w:p>
    <w:p w:rsidR="00325E11" w:rsidRDefault="00325E11" w:rsidP="008E688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8E6887" w:rsidRDefault="0086074C" w:rsidP="00972044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N.B. Property purchases, while eligible for funding, are not a priority and will not be supported unless a persuasive case can be made</w:t>
      </w:r>
      <w:r w:rsidR="00AA7569">
        <w:rPr>
          <w:rFonts w:cs="Arial"/>
          <w:szCs w:val="24"/>
        </w:rPr>
        <w:t xml:space="preserve"> to do so</w:t>
      </w:r>
      <w:r>
        <w:rPr>
          <w:rFonts w:cs="Arial"/>
          <w:szCs w:val="24"/>
        </w:rPr>
        <w:t>.</w:t>
      </w:r>
    </w:p>
    <w:p w:rsidR="004B69D1" w:rsidRPr="00FD0EF2" w:rsidRDefault="004B69D1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8E6887" w:rsidRDefault="008E6887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F557F4" w:rsidRPr="00FD0EF2" w:rsidRDefault="0086074C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  <w:r>
        <w:rPr>
          <w:rFonts w:cs="Arial"/>
          <w:b/>
          <w:color w:val="000000"/>
          <w:szCs w:val="24"/>
          <w:lang w:eastAsia="en-GB"/>
        </w:rPr>
        <w:t>Job creation</w:t>
      </w:r>
    </w:p>
    <w:p w:rsidR="00506835" w:rsidRPr="00FD0EF2" w:rsidRDefault="00506835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B41C04" w:rsidRPr="00FD0EF2" w:rsidRDefault="0086074C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Grant funded projects must create at least 1 FTE job for every £15,000 grant awarded. </w:t>
      </w:r>
      <w:r w:rsidR="007C4777">
        <w:rPr>
          <w:rFonts w:cs="Arial"/>
          <w:color w:val="000000"/>
          <w:szCs w:val="24"/>
          <w:lang w:eastAsia="en-GB"/>
        </w:rPr>
        <w:t>Safeguarded jobs will also be accepted where it can be demonstrated that the job will be retained because of the investment.</w:t>
      </w:r>
    </w:p>
    <w:p w:rsidR="00B41C04" w:rsidRPr="00FD0EF2" w:rsidRDefault="00B41C04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B41C04" w:rsidRPr="00FD0EF2" w:rsidRDefault="007C4777" w:rsidP="0086074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New </w:t>
      </w:r>
      <w:r w:rsidR="00B41C04" w:rsidRPr="00FD0EF2">
        <w:rPr>
          <w:rFonts w:cs="Arial"/>
          <w:color w:val="000000"/>
          <w:szCs w:val="24"/>
          <w:lang w:eastAsia="en-GB"/>
        </w:rPr>
        <w:t xml:space="preserve">employment </w:t>
      </w:r>
      <w:r w:rsidR="0086074C">
        <w:rPr>
          <w:rFonts w:cs="Arial"/>
          <w:color w:val="000000"/>
          <w:szCs w:val="24"/>
          <w:lang w:eastAsia="en-GB"/>
        </w:rPr>
        <w:t xml:space="preserve">must be created </w:t>
      </w:r>
      <w:r w:rsidR="00B41C04" w:rsidRPr="00FD0EF2">
        <w:rPr>
          <w:rFonts w:cs="Arial"/>
          <w:color w:val="000000"/>
          <w:szCs w:val="24"/>
          <w:lang w:eastAsia="en-GB"/>
        </w:rPr>
        <w:t xml:space="preserve">within </w:t>
      </w:r>
      <w:r w:rsidR="008E6887">
        <w:rPr>
          <w:rFonts w:cs="Arial"/>
          <w:color w:val="000000"/>
          <w:szCs w:val="24"/>
          <w:lang w:eastAsia="en-GB"/>
        </w:rPr>
        <w:t>one</w:t>
      </w:r>
      <w:r w:rsidR="00F679F0">
        <w:rPr>
          <w:rFonts w:cs="Arial"/>
          <w:color w:val="000000"/>
          <w:szCs w:val="24"/>
          <w:lang w:eastAsia="en-GB"/>
        </w:rPr>
        <w:t xml:space="preserve"> </w:t>
      </w:r>
      <w:r w:rsidR="00B41C04" w:rsidRPr="00FD0EF2">
        <w:rPr>
          <w:rFonts w:cs="Arial"/>
          <w:color w:val="000000"/>
          <w:szCs w:val="24"/>
          <w:lang w:eastAsia="en-GB"/>
        </w:rPr>
        <w:t>year of the investment</w:t>
      </w:r>
      <w:r w:rsidR="00E301D7">
        <w:rPr>
          <w:rFonts w:cs="Arial"/>
          <w:color w:val="000000"/>
          <w:szCs w:val="24"/>
          <w:lang w:eastAsia="en-GB"/>
        </w:rPr>
        <w:t xml:space="preserve"> </w:t>
      </w:r>
      <w:r w:rsidR="00F679F0">
        <w:rPr>
          <w:rFonts w:cs="Arial"/>
          <w:color w:val="000000"/>
          <w:szCs w:val="24"/>
          <w:lang w:eastAsia="en-GB"/>
        </w:rPr>
        <w:t>being made</w:t>
      </w:r>
    </w:p>
    <w:p w:rsidR="00B41C04" w:rsidRDefault="007C4777" w:rsidP="0086074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J</w:t>
      </w:r>
      <w:r w:rsidR="0086074C">
        <w:rPr>
          <w:rFonts w:cs="Arial"/>
          <w:color w:val="000000"/>
          <w:szCs w:val="24"/>
          <w:lang w:eastAsia="en-GB"/>
        </w:rPr>
        <w:t xml:space="preserve">obs created should </w:t>
      </w:r>
      <w:r w:rsidR="00B41C04" w:rsidRPr="00FD0EF2">
        <w:rPr>
          <w:rFonts w:cs="Arial"/>
          <w:color w:val="000000"/>
          <w:szCs w:val="24"/>
          <w:lang w:eastAsia="en-GB"/>
        </w:rPr>
        <w:t xml:space="preserve">lead to a net </w:t>
      </w:r>
      <w:r>
        <w:rPr>
          <w:rFonts w:cs="Arial"/>
          <w:color w:val="000000"/>
          <w:szCs w:val="24"/>
          <w:lang w:eastAsia="en-GB"/>
        </w:rPr>
        <w:t xml:space="preserve">balance or </w:t>
      </w:r>
      <w:r w:rsidR="00B41C04" w:rsidRPr="00FD0EF2">
        <w:rPr>
          <w:rFonts w:cs="Arial"/>
          <w:color w:val="000000"/>
          <w:szCs w:val="24"/>
          <w:lang w:eastAsia="en-GB"/>
        </w:rPr>
        <w:t xml:space="preserve">increase in the number of employees in the </w:t>
      </w:r>
      <w:r w:rsidR="0086074C">
        <w:rPr>
          <w:rFonts w:cs="Arial"/>
          <w:color w:val="000000"/>
          <w:szCs w:val="24"/>
          <w:lang w:eastAsia="en-GB"/>
        </w:rPr>
        <w:t xml:space="preserve">business </w:t>
      </w:r>
      <w:r w:rsidR="00B41C04" w:rsidRPr="00FD0EF2">
        <w:rPr>
          <w:rFonts w:cs="Arial"/>
          <w:color w:val="000000"/>
          <w:szCs w:val="24"/>
          <w:lang w:eastAsia="en-GB"/>
        </w:rPr>
        <w:t>compared with the average over the previous twelve months</w:t>
      </w:r>
    </w:p>
    <w:p w:rsidR="0086074C" w:rsidRDefault="007C4777" w:rsidP="0086074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B</w:t>
      </w:r>
      <w:r w:rsidR="0086074C">
        <w:rPr>
          <w:rFonts w:cs="Arial"/>
          <w:color w:val="000000"/>
          <w:szCs w:val="24"/>
          <w:lang w:eastAsia="en-GB"/>
        </w:rPr>
        <w:t>usinesses must commit to sustaining the employment for 3 years</w:t>
      </w:r>
    </w:p>
    <w:p w:rsidR="0086074C" w:rsidRDefault="0086074C" w:rsidP="0086074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86074C" w:rsidRPr="00FD0EF2" w:rsidRDefault="0086074C" w:rsidP="0086074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N.B. Grant recipients will be contracted to achieve and sustain their employment outputs</w:t>
      </w:r>
      <w:r w:rsidR="008A5EF7">
        <w:rPr>
          <w:rFonts w:cs="Arial"/>
          <w:color w:val="000000"/>
          <w:szCs w:val="24"/>
          <w:lang w:eastAsia="en-GB"/>
        </w:rPr>
        <w:t>. Failure to do so may result in grant funding being revoked or clawed back</w:t>
      </w:r>
      <w:r w:rsidR="00B10C65">
        <w:rPr>
          <w:rFonts w:cs="Arial"/>
          <w:color w:val="000000"/>
          <w:szCs w:val="24"/>
          <w:lang w:eastAsia="en-GB"/>
        </w:rPr>
        <w:t xml:space="preserve"> so it is important that applicants are realistic about what job creation they can achieve</w:t>
      </w:r>
      <w:r w:rsidR="008A5EF7">
        <w:rPr>
          <w:rFonts w:cs="Arial"/>
          <w:color w:val="000000"/>
          <w:szCs w:val="24"/>
          <w:lang w:eastAsia="en-GB"/>
        </w:rPr>
        <w:t xml:space="preserve">. </w:t>
      </w:r>
      <w:r>
        <w:rPr>
          <w:rFonts w:cs="Arial"/>
          <w:color w:val="000000"/>
          <w:szCs w:val="24"/>
          <w:lang w:eastAsia="en-GB"/>
        </w:rPr>
        <w:t xml:space="preserve"> </w:t>
      </w:r>
    </w:p>
    <w:p w:rsidR="00B41C04" w:rsidRPr="00FD0EF2" w:rsidRDefault="00B41C04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8A5EF7" w:rsidRDefault="008A5EF7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p w:rsidR="008A5EF7" w:rsidRPr="008A5EF7" w:rsidRDefault="008A5EF7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  <w:r w:rsidRPr="008A5EF7">
        <w:rPr>
          <w:rFonts w:cs="Arial"/>
          <w:b/>
          <w:color w:val="000000"/>
          <w:szCs w:val="24"/>
          <w:lang w:eastAsia="en-GB"/>
        </w:rPr>
        <w:t xml:space="preserve">Investment </w:t>
      </w:r>
    </w:p>
    <w:p w:rsidR="008A5EF7" w:rsidRDefault="008A5EF7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u w:val="single"/>
          <w:lang w:eastAsia="en-GB"/>
        </w:rPr>
      </w:pPr>
    </w:p>
    <w:p w:rsidR="00B10C65" w:rsidRDefault="008A5EF7" w:rsidP="00B10C6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 w:rsidRPr="008A5EF7">
        <w:rPr>
          <w:rFonts w:cs="Arial"/>
          <w:color w:val="000000"/>
          <w:szCs w:val="24"/>
          <w:lang w:eastAsia="en-GB"/>
        </w:rPr>
        <w:t xml:space="preserve">Grants </w:t>
      </w:r>
      <w:r>
        <w:rPr>
          <w:rFonts w:cs="Arial"/>
          <w:color w:val="000000"/>
          <w:szCs w:val="24"/>
          <w:lang w:eastAsia="en-GB"/>
        </w:rPr>
        <w:t xml:space="preserve">are </w:t>
      </w:r>
      <w:r w:rsidR="00B10C65" w:rsidRPr="001E50BD">
        <w:rPr>
          <w:rFonts w:cs="Arial"/>
          <w:color w:val="000000"/>
          <w:szCs w:val="24"/>
          <w:u w:val="single"/>
          <w:lang w:eastAsia="en-GB"/>
        </w:rPr>
        <w:t>paid in arrears</w:t>
      </w:r>
      <w:r w:rsidR="00B10C65">
        <w:rPr>
          <w:rFonts w:cs="Arial"/>
          <w:color w:val="000000"/>
          <w:szCs w:val="24"/>
          <w:lang w:eastAsia="en-GB"/>
        </w:rPr>
        <w:t xml:space="preserve"> against evidence of spend. </w:t>
      </w:r>
    </w:p>
    <w:p w:rsidR="00B10C65" w:rsidRDefault="00B10C65" w:rsidP="00B10C6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B10C65" w:rsidRDefault="00B10C65" w:rsidP="00B10C6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 w:rsidRPr="00FD0EF2">
        <w:rPr>
          <w:rFonts w:cs="Arial"/>
          <w:color w:val="000000"/>
          <w:szCs w:val="24"/>
          <w:lang w:eastAsia="en-GB"/>
        </w:rPr>
        <w:t xml:space="preserve">If work on a project has started then it is </w:t>
      </w:r>
      <w:r>
        <w:rPr>
          <w:rFonts w:cs="Arial"/>
          <w:color w:val="000000"/>
          <w:szCs w:val="24"/>
          <w:lang w:eastAsia="en-GB"/>
        </w:rPr>
        <w:t xml:space="preserve">not </w:t>
      </w:r>
      <w:r w:rsidRPr="00FD0EF2">
        <w:rPr>
          <w:rFonts w:cs="Arial"/>
          <w:color w:val="000000"/>
          <w:szCs w:val="24"/>
          <w:lang w:eastAsia="en-GB"/>
        </w:rPr>
        <w:t>eligible for financial support.</w:t>
      </w:r>
      <w:r>
        <w:rPr>
          <w:rFonts w:cs="Arial"/>
          <w:color w:val="000000"/>
          <w:szCs w:val="24"/>
          <w:lang w:eastAsia="en-GB"/>
        </w:rPr>
        <w:t xml:space="preserve"> An</w:t>
      </w:r>
      <w:r w:rsidRPr="00FD0EF2">
        <w:rPr>
          <w:rFonts w:cs="Arial"/>
          <w:color w:val="000000"/>
          <w:szCs w:val="24"/>
          <w:lang w:eastAsia="en-GB"/>
        </w:rPr>
        <w:t xml:space="preserve"> </w:t>
      </w:r>
      <w:r>
        <w:rPr>
          <w:rFonts w:cs="Arial"/>
          <w:color w:val="000000"/>
          <w:szCs w:val="24"/>
          <w:lang w:eastAsia="en-GB"/>
        </w:rPr>
        <w:t xml:space="preserve">application </w:t>
      </w:r>
      <w:r w:rsidRPr="00FD0EF2">
        <w:rPr>
          <w:rFonts w:cs="Arial"/>
          <w:color w:val="000000"/>
          <w:szCs w:val="24"/>
          <w:lang w:eastAsia="en-GB"/>
        </w:rPr>
        <w:t xml:space="preserve">must be submitted and an offer made before work on the project is started. </w:t>
      </w:r>
    </w:p>
    <w:p w:rsidR="00B10C65" w:rsidRDefault="00B10C65" w:rsidP="00B10C6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B10C65" w:rsidRPr="00FD0EF2" w:rsidRDefault="00B10C65" w:rsidP="00B10C65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In exceptional circumstances a business may be permitted to commence their project </w:t>
      </w:r>
      <w:r w:rsidRPr="00254132">
        <w:rPr>
          <w:rFonts w:cs="Arial"/>
          <w:b/>
          <w:color w:val="000000"/>
          <w:szCs w:val="24"/>
          <w:lang w:eastAsia="en-GB"/>
        </w:rPr>
        <w:t>at risk</w:t>
      </w:r>
      <w:r>
        <w:rPr>
          <w:rFonts w:cs="Arial"/>
          <w:color w:val="000000"/>
          <w:szCs w:val="24"/>
          <w:lang w:eastAsia="en-GB"/>
        </w:rPr>
        <w:t xml:space="preserve"> once a full application form has been submitted and subject to written permission from the Programme Delivery Team.  </w:t>
      </w:r>
    </w:p>
    <w:p w:rsidR="00A00D3D" w:rsidRDefault="00A00D3D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B41C04" w:rsidRPr="00FD0EF2" w:rsidRDefault="007D2F7E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  <w:r w:rsidRPr="00FD0EF2">
        <w:rPr>
          <w:rFonts w:cs="Arial"/>
          <w:color w:val="000000"/>
          <w:szCs w:val="24"/>
          <w:lang w:eastAsia="en-GB"/>
        </w:rPr>
        <w:t xml:space="preserve">The Investment made by </w:t>
      </w:r>
      <w:r w:rsidR="007C4777">
        <w:rPr>
          <w:rFonts w:cs="Arial"/>
          <w:color w:val="000000"/>
          <w:szCs w:val="24"/>
          <w:lang w:eastAsia="en-GB"/>
        </w:rPr>
        <w:t xml:space="preserve">Growing Hull and East Yorkshire </w:t>
      </w:r>
      <w:r w:rsidRPr="00FD0EF2">
        <w:rPr>
          <w:rFonts w:cs="Arial"/>
          <w:color w:val="000000"/>
          <w:szCs w:val="24"/>
          <w:lang w:eastAsia="en-GB"/>
        </w:rPr>
        <w:t>must be m</w:t>
      </w:r>
      <w:r w:rsidR="00B41C04" w:rsidRPr="00FD0EF2">
        <w:rPr>
          <w:rFonts w:cs="Arial"/>
          <w:color w:val="000000"/>
          <w:szCs w:val="24"/>
          <w:lang w:eastAsia="en-GB"/>
        </w:rPr>
        <w:t>aint</w:t>
      </w:r>
      <w:r w:rsidRPr="00FD0EF2">
        <w:rPr>
          <w:rFonts w:cs="Arial"/>
          <w:color w:val="000000"/>
          <w:szCs w:val="24"/>
          <w:lang w:eastAsia="en-GB"/>
        </w:rPr>
        <w:t xml:space="preserve">ained </w:t>
      </w:r>
      <w:r w:rsidR="00B41C04" w:rsidRPr="00FD0EF2">
        <w:rPr>
          <w:rFonts w:cs="Arial"/>
          <w:color w:val="000000"/>
          <w:szCs w:val="24"/>
          <w:lang w:eastAsia="en-GB"/>
        </w:rPr>
        <w:t xml:space="preserve">in the region for a period of </w:t>
      </w:r>
      <w:r w:rsidR="00CA6D84" w:rsidRPr="00FD0EF2">
        <w:rPr>
          <w:rFonts w:cs="Arial"/>
          <w:color w:val="000000"/>
          <w:szCs w:val="24"/>
          <w:lang w:eastAsia="en-GB"/>
        </w:rPr>
        <w:t xml:space="preserve">up to </w:t>
      </w:r>
      <w:r w:rsidR="0098298D" w:rsidRPr="00FD0EF2">
        <w:rPr>
          <w:rFonts w:cs="Arial"/>
          <w:color w:val="000000"/>
          <w:szCs w:val="24"/>
          <w:lang w:eastAsia="en-GB"/>
        </w:rPr>
        <w:t xml:space="preserve">up to 3 years </w:t>
      </w:r>
      <w:r w:rsidR="00B41C04" w:rsidRPr="00FD0EF2">
        <w:rPr>
          <w:rFonts w:cs="Arial"/>
          <w:color w:val="000000"/>
          <w:szCs w:val="24"/>
          <w:lang w:eastAsia="en-GB"/>
        </w:rPr>
        <w:t>after completion.</w:t>
      </w:r>
    </w:p>
    <w:p w:rsidR="00506835" w:rsidRPr="00FD0EF2" w:rsidRDefault="00506835" w:rsidP="00FD0EF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n-GB"/>
        </w:rPr>
      </w:pPr>
    </w:p>
    <w:p w:rsidR="00771373" w:rsidRDefault="00771373" w:rsidP="00FD0EF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eastAsia="en-GB"/>
        </w:rPr>
      </w:pPr>
    </w:p>
    <w:p w:rsidR="007F19E8" w:rsidRPr="00FD0EF2" w:rsidRDefault="007F19E8" w:rsidP="00FD0EF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eastAsia="en-GB"/>
        </w:rPr>
      </w:pPr>
    </w:p>
    <w:sectPr w:rsidR="007F19E8" w:rsidRPr="00FD0EF2" w:rsidSect="0069129C">
      <w:footerReference w:type="default" r:id="rId8"/>
      <w:footerReference w:type="first" r:id="rId9"/>
      <w:pgSz w:w="11907" w:h="16840" w:code="9"/>
      <w:pgMar w:top="567" w:right="708" w:bottom="851" w:left="851" w:header="720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A4" w:rsidRDefault="00A440A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A440A4" w:rsidRDefault="00A440A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65" w:rsidRPr="00554EE8" w:rsidRDefault="00B10C65" w:rsidP="00554EE8">
    <w:pPr>
      <w:pStyle w:val="Footer"/>
      <w:jc w:val="center"/>
      <w:rPr>
        <w:sz w:val="16"/>
        <w:szCs w:val="16"/>
      </w:rPr>
    </w:pPr>
    <w:r w:rsidRPr="00554EE8">
      <w:rPr>
        <w:sz w:val="16"/>
        <w:szCs w:val="16"/>
      </w:rPr>
      <w:t xml:space="preserve">Page </w:t>
    </w:r>
    <w:r w:rsidRPr="00554EE8">
      <w:rPr>
        <w:sz w:val="16"/>
        <w:szCs w:val="16"/>
      </w:rPr>
      <w:fldChar w:fldCharType="begin"/>
    </w:r>
    <w:r w:rsidRPr="00554EE8">
      <w:rPr>
        <w:sz w:val="16"/>
        <w:szCs w:val="16"/>
      </w:rPr>
      <w:instrText xml:space="preserve"> PAGE </w:instrText>
    </w:r>
    <w:r w:rsidRPr="00554EE8">
      <w:rPr>
        <w:sz w:val="16"/>
        <w:szCs w:val="16"/>
      </w:rPr>
      <w:fldChar w:fldCharType="separate"/>
    </w:r>
    <w:r w:rsidR="00EB3245">
      <w:rPr>
        <w:noProof/>
        <w:sz w:val="16"/>
        <w:szCs w:val="16"/>
      </w:rPr>
      <w:t>3</w:t>
    </w:r>
    <w:r w:rsidRPr="00554EE8">
      <w:rPr>
        <w:sz w:val="16"/>
        <w:szCs w:val="16"/>
      </w:rPr>
      <w:fldChar w:fldCharType="end"/>
    </w:r>
    <w:r w:rsidRPr="00554EE8">
      <w:rPr>
        <w:sz w:val="16"/>
        <w:szCs w:val="16"/>
      </w:rPr>
      <w:t xml:space="preserve"> of </w:t>
    </w:r>
    <w:r w:rsidRPr="00554EE8">
      <w:rPr>
        <w:sz w:val="16"/>
        <w:szCs w:val="16"/>
      </w:rPr>
      <w:fldChar w:fldCharType="begin"/>
    </w:r>
    <w:r w:rsidRPr="00554EE8">
      <w:rPr>
        <w:sz w:val="16"/>
        <w:szCs w:val="16"/>
      </w:rPr>
      <w:instrText xml:space="preserve"> NUMPAGES </w:instrText>
    </w:r>
    <w:r w:rsidRPr="00554EE8">
      <w:rPr>
        <w:sz w:val="16"/>
        <w:szCs w:val="16"/>
      </w:rPr>
      <w:fldChar w:fldCharType="separate"/>
    </w:r>
    <w:r w:rsidR="00EB3245">
      <w:rPr>
        <w:noProof/>
        <w:sz w:val="16"/>
        <w:szCs w:val="16"/>
      </w:rPr>
      <w:t>3</w:t>
    </w:r>
    <w:r w:rsidRPr="00554EE8">
      <w:rPr>
        <w:sz w:val="16"/>
        <w:szCs w:val="16"/>
      </w:rPr>
      <w:fldChar w:fldCharType="end"/>
    </w:r>
  </w:p>
  <w:p w:rsidR="00B10C65" w:rsidRDefault="00B10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56" w:type="dxa"/>
      <w:jc w:val="center"/>
      <w:tblLayout w:type="fixed"/>
      <w:tblLook w:val="01E0" w:firstRow="1" w:lastRow="1" w:firstColumn="1" w:lastColumn="1" w:noHBand="0" w:noVBand="0"/>
    </w:tblPr>
    <w:tblGrid>
      <w:gridCol w:w="2088"/>
      <w:gridCol w:w="1440"/>
      <w:gridCol w:w="3892"/>
      <w:gridCol w:w="3568"/>
      <w:gridCol w:w="3568"/>
    </w:tblGrid>
    <w:tr w:rsidR="00F0354E" w:rsidRPr="00E254A0" w:rsidTr="00F0354E">
      <w:trPr>
        <w:jc w:val="center"/>
      </w:trPr>
      <w:tc>
        <w:tcPr>
          <w:tcW w:w="2088" w:type="dxa"/>
        </w:tcPr>
        <w:p w:rsidR="00F0354E" w:rsidRPr="00E254A0" w:rsidRDefault="00F0354E" w:rsidP="001376D4">
          <w:pPr>
            <w:pStyle w:val="Footer"/>
            <w:rPr>
              <w:rFonts w:cs="Arial"/>
              <w:color w:val="808080"/>
              <w:sz w:val="22"/>
              <w:szCs w:val="22"/>
            </w:rPr>
          </w:pPr>
        </w:p>
      </w:tc>
      <w:tc>
        <w:tcPr>
          <w:tcW w:w="1440" w:type="dxa"/>
        </w:tcPr>
        <w:p w:rsidR="00F0354E" w:rsidRPr="00E254A0" w:rsidRDefault="00F0354E" w:rsidP="001376D4">
          <w:pPr>
            <w:pStyle w:val="Footer"/>
            <w:rPr>
              <w:rFonts w:cs="Arial"/>
              <w:color w:val="808080"/>
              <w:sz w:val="22"/>
              <w:szCs w:val="22"/>
            </w:rPr>
          </w:pPr>
        </w:p>
      </w:tc>
      <w:tc>
        <w:tcPr>
          <w:tcW w:w="3892" w:type="dxa"/>
          <w:vAlign w:val="center"/>
        </w:tcPr>
        <w:p w:rsidR="00F0354E" w:rsidRPr="00E254A0" w:rsidRDefault="00F0354E" w:rsidP="00E254A0">
          <w:pPr>
            <w:pStyle w:val="Footer"/>
            <w:jc w:val="center"/>
            <w:rPr>
              <w:rFonts w:cs="Arial"/>
              <w:color w:val="808080"/>
              <w:sz w:val="22"/>
              <w:szCs w:val="22"/>
            </w:rPr>
          </w:pPr>
        </w:p>
      </w:tc>
      <w:tc>
        <w:tcPr>
          <w:tcW w:w="3568" w:type="dxa"/>
        </w:tcPr>
        <w:p w:rsidR="00F0354E" w:rsidRPr="00E47867" w:rsidRDefault="00F0354E" w:rsidP="00E254A0">
          <w:pPr>
            <w:pStyle w:val="Footer"/>
            <w:jc w:val="center"/>
          </w:pPr>
        </w:p>
      </w:tc>
      <w:tc>
        <w:tcPr>
          <w:tcW w:w="3568" w:type="dxa"/>
          <w:vAlign w:val="center"/>
        </w:tcPr>
        <w:p w:rsidR="00F0354E" w:rsidRPr="00E47867" w:rsidRDefault="00F0354E" w:rsidP="00E254A0">
          <w:pPr>
            <w:pStyle w:val="Footer"/>
            <w:jc w:val="center"/>
          </w:pPr>
        </w:p>
      </w:tc>
    </w:tr>
    <w:tr w:rsidR="00F0354E" w:rsidRPr="00E254A0" w:rsidTr="00F0354E">
      <w:trPr>
        <w:trHeight w:val="163"/>
        <w:jc w:val="center"/>
      </w:trPr>
      <w:tc>
        <w:tcPr>
          <w:tcW w:w="3528" w:type="dxa"/>
          <w:gridSpan w:val="2"/>
        </w:tcPr>
        <w:p w:rsidR="00F0354E" w:rsidRPr="00E254A0" w:rsidRDefault="00F0354E" w:rsidP="00E254A0">
          <w:pPr>
            <w:pStyle w:val="Footer"/>
            <w:jc w:val="center"/>
            <w:rPr>
              <w:rFonts w:cs="Arial"/>
              <w:color w:val="808080"/>
              <w:sz w:val="22"/>
              <w:szCs w:val="22"/>
            </w:rPr>
          </w:pPr>
        </w:p>
      </w:tc>
      <w:tc>
        <w:tcPr>
          <w:tcW w:w="3892" w:type="dxa"/>
        </w:tcPr>
        <w:p w:rsidR="00F0354E" w:rsidRPr="00E254A0" w:rsidRDefault="00F0354E" w:rsidP="00E254A0">
          <w:pPr>
            <w:pStyle w:val="Footer"/>
            <w:jc w:val="center"/>
            <w:rPr>
              <w:rFonts w:cs="Arial"/>
              <w:color w:val="808080"/>
              <w:sz w:val="22"/>
              <w:szCs w:val="22"/>
            </w:rPr>
          </w:pPr>
          <w:r w:rsidRPr="00E254A0">
            <w:rPr>
              <w:rFonts w:cs="Arial"/>
              <w:sz w:val="16"/>
              <w:szCs w:val="16"/>
            </w:rPr>
            <w:t xml:space="preserve">Page </w:t>
          </w:r>
          <w:r w:rsidRPr="00E254A0">
            <w:rPr>
              <w:rFonts w:cs="Arial"/>
              <w:sz w:val="16"/>
              <w:szCs w:val="16"/>
            </w:rPr>
            <w:fldChar w:fldCharType="begin"/>
          </w:r>
          <w:r w:rsidRPr="00E254A0">
            <w:rPr>
              <w:rFonts w:cs="Arial"/>
              <w:sz w:val="16"/>
              <w:szCs w:val="16"/>
            </w:rPr>
            <w:instrText xml:space="preserve"> PAGE </w:instrText>
          </w:r>
          <w:r w:rsidRPr="00E254A0">
            <w:rPr>
              <w:rFonts w:cs="Arial"/>
              <w:sz w:val="16"/>
              <w:szCs w:val="16"/>
            </w:rPr>
            <w:fldChar w:fldCharType="separate"/>
          </w:r>
          <w:r w:rsidR="00EB3245">
            <w:rPr>
              <w:rFonts w:cs="Arial"/>
              <w:noProof/>
              <w:sz w:val="16"/>
              <w:szCs w:val="16"/>
            </w:rPr>
            <w:t>1</w:t>
          </w:r>
          <w:r w:rsidRPr="00E254A0">
            <w:rPr>
              <w:rFonts w:cs="Arial"/>
              <w:sz w:val="16"/>
              <w:szCs w:val="16"/>
            </w:rPr>
            <w:fldChar w:fldCharType="end"/>
          </w:r>
          <w:r w:rsidRPr="00E254A0">
            <w:rPr>
              <w:rFonts w:cs="Arial"/>
              <w:sz w:val="16"/>
              <w:szCs w:val="16"/>
            </w:rPr>
            <w:t xml:space="preserve"> of </w:t>
          </w:r>
          <w:r w:rsidRPr="00E254A0">
            <w:rPr>
              <w:rFonts w:cs="Arial"/>
              <w:sz w:val="16"/>
              <w:szCs w:val="16"/>
            </w:rPr>
            <w:fldChar w:fldCharType="begin"/>
          </w:r>
          <w:r w:rsidRPr="00E254A0">
            <w:rPr>
              <w:rFonts w:cs="Arial"/>
              <w:sz w:val="16"/>
              <w:szCs w:val="16"/>
            </w:rPr>
            <w:instrText xml:space="preserve"> NUMPAGES </w:instrText>
          </w:r>
          <w:r w:rsidRPr="00E254A0">
            <w:rPr>
              <w:rFonts w:cs="Arial"/>
              <w:sz w:val="16"/>
              <w:szCs w:val="16"/>
            </w:rPr>
            <w:fldChar w:fldCharType="separate"/>
          </w:r>
          <w:r w:rsidR="00EB3245">
            <w:rPr>
              <w:rFonts w:cs="Arial"/>
              <w:noProof/>
              <w:sz w:val="16"/>
              <w:szCs w:val="16"/>
            </w:rPr>
            <w:t>3</w:t>
          </w:r>
          <w:r w:rsidRPr="00E254A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568" w:type="dxa"/>
        </w:tcPr>
        <w:p w:rsidR="00F0354E" w:rsidRDefault="00F0354E" w:rsidP="00E254A0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  <w:tc>
        <w:tcPr>
          <w:tcW w:w="3568" w:type="dxa"/>
          <w:vAlign w:val="bottom"/>
        </w:tcPr>
        <w:p w:rsidR="00F0354E" w:rsidRDefault="00F0354E" w:rsidP="00E254A0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  <w:p w:rsidR="00F0354E" w:rsidRPr="00E254A0" w:rsidRDefault="00F0354E" w:rsidP="00E254A0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August 2020</w:t>
          </w:r>
        </w:p>
      </w:tc>
    </w:tr>
  </w:tbl>
  <w:p w:rsidR="00B10C65" w:rsidRDefault="00EB3245" w:rsidP="00554EE8">
    <w:pPr>
      <w:pStyle w:val="Footer"/>
      <w:tabs>
        <w:tab w:val="clear" w:pos="4153"/>
        <w:tab w:val="clear" w:pos="8306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-813435</wp:posOffset>
          </wp:positionV>
          <wp:extent cx="1548765" cy="688975"/>
          <wp:effectExtent l="0" t="0" r="0" b="0"/>
          <wp:wrapTight wrapText="bothSides">
            <wp:wrapPolygon edited="0">
              <wp:start x="0" y="0"/>
              <wp:lineTo x="0" y="20903"/>
              <wp:lineTo x="21255" y="20903"/>
              <wp:lineTo x="212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54E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4799965</wp:posOffset>
          </wp:positionH>
          <wp:positionV relativeFrom="paragraph">
            <wp:posOffset>-944245</wp:posOffset>
          </wp:positionV>
          <wp:extent cx="1699260" cy="530225"/>
          <wp:effectExtent l="0" t="0" r="0" b="3175"/>
          <wp:wrapSquare wrapText="bothSides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A4" w:rsidRDefault="00A440A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A440A4" w:rsidRDefault="00A440A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96C"/>
    <w:multiLevelType w:val="hybridMultilevel"/>
    <w:tmpl w:val="863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248"/>
    <w:multiLevelType w:val="hybridMultilevel"/>
    <w:tmpl w:val="6E3C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2EA"/>
    <w:multiLevelType w:val="hybridMultilevel"/>
    <w:tmpl w:val="A9EA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1B3"/>
    <w:multiLevelType w:val="hybridMultilevel"/>
    <w:tmpl w:val="4BE0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146E7"/>
    <w:multiLevelType w:val="hybridMultilevel"/>
    <w:tmpl w:val="9FC0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C55"/>
    <w:multiLevelType w:val="hybridMultilevel"/>
    <w:tmpl w:val="82EA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1173"/>
    <w:multiLevelType w:val="hybridMultilevel"/>
    <w:tmpl w:val="0038B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0FE"/>
    <w:multiLevelType w:val="hybridMultilevel"/>
    <w:tmpl w:val="6D2E2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6665D"/>
    <w:multiLevelType w:val="hybridMultilevel"/>
    <w:tmpl w:val="9E409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196B"/>
    <w:multiLevelType w:val="multilevel"/>
    <w:tmpl w:val="1A28C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C41CF9"/>
    <w:multiLevelType w:val="hybridMultilevel"/>
    <w:tmpl w:val="79228F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D5117E"/>
    <w:multiLevelType w:val="hybridMultilevel"/>
    <w:tmpl w:val="AA760D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12480"/>
    <w:multiLevelType w:val="hybridMultilevel"/>
    <w:tmpl w:val="F3268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F4574"/>
    <w:multiLevelType w:val="hybridMultilevel"/>
    <w:tmpl w:val="5BB0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6FE"/>
    <w:multiLevelType w:val="hybridMultilevel"/>
    <w:tmpl w:val="48D2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F3042"/>
    <w:multiLevelType w:val="hybridMultilevel"/>
    <w:tmpl w:val="284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4BAB"/>
    <w:multiLevelType w:val="hybridMultilevel"/>
    <w:tmpl w:val="55F0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F7A3A"/>
    <w:multiLevelType w:val="hybridMultilevel"/>
    <w:tmpl w:val="36A0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100A7"/>
    <w:multiLevelType w:val="hybridMultilevel"/>
    <w:tmpl w:val="84D4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74AB"/>
    <w:multiLevelType w:val="hybridMultilevel"/>
    <w:tmpl w:val="3356D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B7EFB"/>
    <w:multiLevelType w:val="hybridMultilevel"/>
    <w:tmpl w:val="62F486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0748D"/>
    <w:multiLevelType w:val="hybridMultilevel"/>
    <w:tmpl w:val="466C19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365F3"/>
    <w:multiLevelType w:val="hybridMultilevel"/>
    <w:tmpl w:val="1E8E7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493EFD"/>
    <w:multiLevelType w:val="hybridMultilevel"/>
    <w:tmpl w:val="98963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F12F3"/>
    <w:multiLevelType w:val="hybridMultilevel"/>
    <w:tmpl w:val="15F4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5CA454">
      <w:numFmt w:val="bullet"/>
      <w:lvlText w:val="•"/>
      <w:lvlJc w:val="left"/>
      <w:pPr>
        <w:ind w:left="1080" w:hanging="360"/>
      </w:pPr>
      <w:rPr>
        <w:rFonts w:ascii="HelveticaNeue-Medium" w:eastAsia="Times New Roman" w:hAnsi="HelveticaNeue-Medium" w:cs="HelveticaNeue-Medium" w:hint="default"/>
        <w:color w:val="E81939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DE0195"/>
    <w:multiLevelType w:val="hybridMultilevel"/>
    <w:tmpl w:val="9E6A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414E5"/>
    <w:multiLevelType w:val="hybridMultilevel"/>
    <w:tmpl w:val="61323F24"/>
    <w:lvl w:ilvl="0" w:tplc="BABAE376">
      <w:start w:val="1"/>
      <w:numFmt w:val="decimal"/>
      <w:lvlText w:val="%1."/>
      <w:lvlJc w:val="left"/>
      <w:pPr>
        <w:ind w:left="720" w:hanging="360"/>
      </w:pPr>
      <w:rPr>
        <w:rFonts w:cs="HelveticaNeue-Mediu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70F4A"/>
    <w:multiLevelType w:val="hybridMultilevel"/>
    <w:tmpl w:val="7FBA79A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D6862"/>
    <w:multiLevelType w:val="hybridMultilevel"/>
    <w:tmpl w:val="A82E5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231ECE"/>
    <w:multiLevelType w:val="hybridMultilevel"/>
    <w:tmpl w:val="0F021E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21729"/>
    <w:multiLevelType w:val="hybridMultilevel"/>
    <w:tmpl w:val="54304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C6082B"/>
    <w:multiLevelType w:val="hybridMultilevel"/>
    <w:tmpl w:val="344CC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440171"/>
    <w:multiLevelType w:val="hybridMultilevel"/>
    <w:tmpl w:val="FE58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4267B"/>
    <w:multiLevelType w:val="hybridMultilevel"/>
    <w:tmpl w:val="D954E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731FC6"/>
    <w:multiLevelType w:val="hybridMultilevel"/>
    <w:tmpl w:val="4C50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43A86"/>
    <w:multiLevelType w:val="hybridMultilevel"/>
    <w:tmpl w:val="EC424404"/>
    <w:lvl w:ilvl="0" w:tplc="56AA3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37AA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86E12ED"/>
    <w:multiLevelType w:val="hybridMultilevel"/>
    <w:tmpl w:val="2E641D60"/>
    <w:lvl w:ilvl="0" w:tplc="3EE66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C6EC6"/>
    <w:multiLevelType w:val="hybridMultilevel"/>
    <w:tmpl w:val="D9AA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55D3F"/>
    <w:multiLevelType w:val="hybridMultilevel"/>
    <w:tmpl w:val="09B25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A2D02"/>
    <w:multiLevelType w:val="hybridMultilevel"/>
    <w:tmpl w:val="B9CC654E"/>
    <w:lvl w:ilvl="0" w:tplc="9A9CC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F498E"/>
    <w:multiLevelType w:val="hybridMultilevel"/>
    <w:tmpl w:val="1786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32519"/>
    <w:multiLevelType w:val="hybridMultilevel"/>
    <w:tmpl w:val="B7B0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B6237"/>
    <w:multiLevelType w:val="hybridMultilevel"/>
    <w:tmpl w:val="3202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07047"/>
    <w:multiLevelType w:val="hybridMultilevel"/>
    <w:tmpl w:val="21EA4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8439E"/>
    <w:multiLevelType w:val="hybridMultilevel"/>
    <w:tmpl w:val="84CC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F5CA1"/>
    <w:multiLevelType w:val="hybridMultilevel"/>
    <w:tmpl w:val="CAF00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0E611B"/>
    <w:multiLevelType w:val="hybridMultilevel"/>
    <w:tmpl w:val="8AA69894"/>
    <w:lvl w:ilvl="0" w:tplc="E8EAF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17"/>
  </w:num>
  <w:num w:numId="4">
    <w:abstractNumId w:val="46"/>
  </w:num>
  <w:num w:numId="5">
    <w:abstractNumId w:val="33"/>
  </w:num>
  <w:num w:numId="6">
    <w:abstractNumId w:val="28"/>
  </w:num>
  <w:num w:numId="7">
    <w:abstractNumId w:val="24"/>
  </w:num>
  <w:num w:numId="8">
    <w:abstractNumId w:val="31"/>
  </w:num>
  <w:num w:numId="9">
    <w:abstractNumId w:val="30"/>
  </w:num>
  <w:num w:numId="10">
    <w:abstractNumId w:val="12"/>
  </w:num>
  <w:num w:numId="11">
    <w:abstractNumId w:val="7"/>
  </w:num>
  <w:num w:numId="12">
    <w:abstractNumId w:val="18"/>
  </w:num>
  <w:num w:numId="13">
    <w:abstractNumId w:val="3"/>
  </w:num>
  <w:num w:numId="14">
    <w:abstractNumId w:val="39"/>
  </w:num>
  <w:num w:numId="15">
    <w:abstractNumId w:val="6"/>
  </w:num>
  <w:num w:numId="16">
    <w:abstractNumId w:val="44"/>
  </w:num>
  <w:num w:numId="17">
    <w:abstractNumId w:val="14"/>
  </w:num>
  <w:num w:numId="18">
    <w:abstractNumId w:val="19"/>
  </w:num>
  <w:num w:numId="19">
    <w:abstractNumId w:val="43"/>
  </w:num>
  <w:num w:numId="20">
    <w:abstractNumId w:val="42"/>
  </w:num>
  <w:num w:numId="21">
    <w:abstractNumId w:val="27"/>
  </w:num>
  <w:num w:numId="22">
    <w:abstractNumId w:val="20"/>
  </w:num>
  <w:num w:numId="23">
    <w:abstractNumId w:val="29"/>
  </w:num>
  <w:num w:numId="24">
    <w:abstractNumId w:val="21"/>
  </w:num>
  <w:num w:numId="25">
    <w:abstractNumId w:val="37"/>
  </w:num>
  <w:num w:numId="26">
    <w:abstractNumId w:val="10"/>
  </w:num>
  <w:num w:numId="27">
    <w:abstractNumId w:val="11"/>
  </w:num>
  <w:num w:numId="28">
    <w:abstractNumId w:val="8"/>
  </w:num>
  <w:num w:numId="29">
    <w:abstractNumId w:val="40"/>
  </w:num>
  <w:num w:numId="30">
    <w:abstractNumId w:val="35"/>
  </w:num>
  <w:num w:numId="31">
    <w:abstractNumId w:val="26"/>
  </w:num>
  <w:num w:numId="32">
    <w:abstractNumId w:val="47"/>
  </w:num>
  <w:num w:numId="33">
    <w:abstractNumId w:val="32"/>
  </w:num>
  <w:num w:numId="34">
    <w:abstractNumId w:val="45"/>
  </w:num>
  <w:num w:numId="35">
    <w:abstractNumId w:val="38"/>
  </w:num>
  <w:num w:numId="36">
    <w:abstractNumId w:val="34"/>
  </w:num>
  <w:num w:numId="37">
    <w:abstractNumId w:val="41"/>
  </w:num>
  <w:num w:numId="38">
    <w:abstractNumId w:val="5"/>
  </w:num>
  <w:num w:numId="39">
    <w:abstractNumId w:val="22"/>
  </w:num>
  <w:num w:numId="40">
    <w:abstractNumId w:val="15"/>
  </w:num>
  <w:num w:numId="41">
    <w:abstractNumId w:val="16"/>
  </w:num>
  <w:num w:numId="42">
    <w:abstractNumId w:val="1"/>
  </w:num>
  <w:num w:numId="43">
    <w:abstractNumId w:val="25"/>
  </w:num>
  <w:num w:numId="44">
    <w:abstractNumId w:val="0"/>
  </w:num>
  <w:num w:numId="45">
    <w:abstractNumId w:val="13"/>
  </w:num>
  <w:num w:numId="46">
    <w:abstractNumId w:val="4"/>
  </w:num>
  <w:num w:numId="47">
    <w:abstractNumId w:val="2"/>
  </w:num>
  <w:num w:numId="4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D7"/>
    <w:rsid w:val="000060A0"/>
    <w:rsid w:val="00023B9E"/>
    <w:rsid w:val="00024E2C"/>
    <w:rsid w:val="00036690"/>
    <w:rsid w:val="00073BC5"/>
    <w:rsid w:val="0007602E"/>
    <w:rsid w:val="000B3359"/>
    <w:rsid w:val="000B4140"/>
    <w:rsid w:val="000F5A3E"/>
    <w:rsid w:val="00106AE9"/>
    <w:rsid w:val="00121211"/>
    <w:rsid w:val="00125814"/>
    <w:rsid w:val="001376D4"/>
    <w:rsid w:val="00144AA3"/>
    <w:rsid w:val="00151C23"/>
    <w:rsid w:val="00161C3F"/>
    <w:rsid w:val="00170C1E"/>
    <w:rsid w:val="001D08AA"/>
    <w:rsid w:val="001E50BD"/>
    <w:rsid w:val="001F12A2"/>
    <w:rsid w:val="001F5552"/>
    <w:rsid w:val="00207367"/>
    <w:rsid w:val="00225573"/>
    <w:rsid w:val="00252C56"/>
    <w:rsid w:val="00253D9C"/>
    <w:rsid w:val="00254132"/>
    <w:rsid w:val="002607FD"/>
    <w:rsid w:val="00295F80"/>
    <w:rsid w:val="002A0936"/>
    <w:rsid w:val="002C6907"/>
    <w:rsid w:val="002D4A3C"/>
    <w:rsid w:val="002E34A4"/>
    <w:rsid w:val="00303C62"/>
    <w:rsid w:val="00303DCB"/>
    <w:rsid w:val="00305AFD"/>
    <w:rsid w:val="00311521"/>
    <w:rsid w:val="003145DF"/>
    <w:rsid w:val="00322A10"/>
    <w:rsid w:val="00325E11"/>
    <w:rsid w:val="00331D21"/>
    <w:rsid w:val="00342382"/>
    <w:rsid w:val="00352217"/>
    <w:rsid w:val="00363316"/>
    <w:rsid w:val="00367E3E"/>
    <w:rsid w:val="00374773"/>
    <w:rsid w:val="0038231F"/>
    <w:rsid w:val="003876DA"/>
    <w:rsid w:val="003A7B19"/>
    <w:rsid w:val="003C6CE7"/>
    <w:rsid w:val="003F5AA7"/>
    <w:rsid w:val="003F728C"/>
    <w:rsid w:val="00405A7A"/>
    <w:rsid w:val="00406A51"/>
    <w:rsid w:val="004248C7"/>
    <w:rsid w:val="00440469"/>
    <w:rsid w:val="00440BFE"/>
    <w:rsid w:val="00446C06"/>
    <w:rsid w:val="004509EC"/>
    <w:rsid w:val="00471FFB"/>
    <w:rsid w:val="004752C5"/>
    <w:rsid w:val="0047792F"/>
    <w:rsid w:val="0048333E"/>
    <w:rsid w:val="004876F6"/>
    <w:rsid w:val="004B3A03"/>
    <w:rsid w:val="004B69D1"/>
    <w:rsid w:val="004D44E7"/>
    <w:rsid w:val="004E40F3"/>
    <w:rsid w:val="004F5CEB"/>
    <w:rsid w:val="00506835"/>
    <w:rsid w:val="0051689C"/>
    <w:rsid w:val="00517BFD"/>
    <w:rsid w:val="00527A78"/>
    <w:rsid w:val="005375BE"/>
    <w:rsid w:val="00554EE8"/>
    <w:rsid w:val="005719F7"/>
    <w:rsid w:val="00572FD1"/>
    <w:rsid w:val="00574AF8"/>
    <w:rsid w:val="00577A47"/>
    <w:rsid w:val="005924AF"/>
    <w:rsid w:val="005A5CD4"/>
    <w:rsid w:val="005D34CC"/>
    <w:rsid w:val="005F7431"/>
    <w:rsid w:val="006053CD"/>
    <w:rsid w:val="00623136"/>
    <w:rsid w:val="006240A5"/>
    <w:rsid w:val="00625539"/>
    <w:rsid w:val="00625756"/>
    <w:rsid w:val="0063508B"/>
    <w:rsid w:val="00651581"/>
    <w:rsid w:val="00667CC3"/>
    <w:rsid w:val="006741C1"/>
    <w:rsid w:val="0069129C"/>
    <w:rsid w:val="006B53D5"/>
    <w:rsid w:val="006B5C00"/>
    <w:rsid w:val="006D0533"/>
    <w:rsid w:val="006D48AE"/>
    <w:rsid w:val="006E7EB9"/>
    <w:rsid w:val="007055AD"/>
    <w:rsid w:val="0072489D"/>
    <w:rsid w:val="00724EBF"/>
    <w:rsid w:val="00726E64"/>
    <w:rsid w:val="00731B8A"/>
    <w:rsid w:val="00732F6D"/>
    <w:rsid w:val="00736D33"/>
    <w:rsid w:val="00740094"/>
    <w:rsid w:val="00743536"/>
    <w:rsid w:val="00746B2A"/>
    <w:rsid w:val="00755091"/>
    <w:rsid w:val="00771373"/>
    <w:rsid w:val="007764E6"/>
    <w:rsid w:val="00796B18"/>
    <w:rsid w:val="007A0466"/>
    <w:rsid w:val="007A14F2"/>
    <w:rsid w:val="007B035A"/>
    <w:rsid w:val="007C0070"/>
    <w:rsid w:val="007C392C"/>
    <w:rsid w:val="007C4777"/>
    <w:rsid w:val="007C483A"/>
    <w:rsid w:val="007D2F7E"/>
    <w:rsid w:val="007F19E8"/>
    <w:rsid w:val="008111D3"/>
    <w:rsid w:val="00814855"/>
    <w:rsid w:val="00832DDA"/>
    <w:rsid w:val="00833106"/>
    <w:rsid w:val="00833A75"/>
    <w:rsid w:val="00835702"/>
    <w:rsid w:val="00840A0E"/>
    <w:rsid w:val="00843CA5"/>
    <w:rsid w:val="00844812"/>
    <w:rsid w:val="0086074C"/>
    <w:rsid w:val="00861E06"/>
    <w:rsid w:val="008652C0"/>
    <w:rsid w:val="00885B91"/>
    <w:rsid w:val="0089323F"/>
    <w:rsid w:val="008A5EF7"/>
    <w:rsid w:val="008B3BA7"/>
    <w:rsid w:val="008E6887"/>
    <w:rsid w:val="009014AE"/>
    <w:rsid w:val="00915C34"/>
    <w:rsid w:val="00917F79"/>
    <w:rsid w:val="0092294F"/>
    <w:rsid w:val="00930FCD"/>
    <w:rsid w:val="0094642C"/>
    <w:rsid w:val="00951341"/>
    <w:rsid w:val="009561AB"/>
    <w:rsid w:val="00957B7A"/>
    <w:rsid w:val="00962370"/>
    <w:rsid w:val="00972044"/>
    <w:rsid w:val="00972A1F"/>
    <w:rsid w:val="00973300"/>
    <w:rsid w:val="00975CED"/>
    <w:rsid w:val="0098298D"/>
    <w:rsid w:val="009C0855"/>
    <w:rsid w:val="009F7680"/>
    <w:rsid w:val="00A00D3D"/>
    <w:rsid w:val="00A01106"/>
    <w:rsid w:val="00A149A9"/>
    <w:rsid w:val="00A25767"/>
    <w:rsid w:val="00A440A4"/>
    <w:rsid w:val="00A4538B"/>
    <w:rsid w:val="00A73E24"/>
    <w:rsid w:val="00A7776F"/>
    <w:rsid w:val="00A92C2E"/>
    <w:rsid w:val="00A94873"/>
    <w:rsid w:val="00AA5CC6"/>
    <w:rsid w:val="00AA7569"/>
    <w:rsid w:val="00AB49BA"/>
    <w:rsid w:val="00AC10A6"/>
    <w:rsid w:val="00AD5EC0"/>
    <w:rsid w:val="00AE0A65"/>
    <w:rsid w:val="00B10C65"/>
    <w:rsid w:val="00B12A24"/>
    <w:rsid w:val="00B41C04"/>
    <w:rsid w:val="00B668D7"/>
    <w:rsid w:val="00B722E5"/>
    <w:rsid w:val="00B74D28"/>
    <w:rsid w:val="00B83D0E"/>
    <w:rsid w:val="00B9484A"/>
    <w:rsid w:val="00BA005F"/>
    <w:rsid w:val="00BA385D"/>
    <w:rsid w:val="00BB5F52"/>
    <w:rsid w:val="00BC35E4"/>
    <w:rsid w:val="00BD2AC9"/>
    <w:rsid w:val="00BD46F7"/>
    <w:rsid w:val="00BE22FC"/>
    <w:rsid w:val="00BF0A60"/>
    <w:rsid w:val="00BF5BD0"/>
    <w:rsid w:val="00C03B6B"/>
    <w:rsid w:val="00C41AF4"/>
    <w:rsid w:val="00C465D6"/>
    <w:rsid w:val="00C52F07"/>
    <w:rsid w:val="00C576A7"/>
    <w:rsid w:val="00C642AF"/>
    <w:rsid w:val="00C835EB"/>
    <w:rsid w:val="00C84C4B"/>
    <w:rsid w:val="00CA6D84"/>
    <w:rsid w:val="00CB7317"/>
    <w:rsid w:val="00CC5F5F"/>
    <w:rsid w:val="00CD40B9"/>
    <w:rsid w:val="00CD73B4"/>
    <w:rsid w:val="00CE388A"/>
    <w:rsid w:val="00D06F44"/>
    <w:rsid w:val="00D316C9"/>
    <w:rsid w:val="00D35894"/>
    <w:rsid w:val="00D410ED"/>
    <w:rsid w:val="00D4306B"/>
    <w:rsid w:val="00D45B5C"/>
    <w:rsid w:val="00D52789"/>
    <w:rsid w:val="00D96756"/>
    <w:rsid w:val="00DA1112"/>
    <w:rsid w:val="00DA3A0B"/>
    <w:rsid w:val="00DA55C4"/>
    <w:rsid w:val="00DB5B7B"/>
    <w:rsid w:val="00DC7607"/>
    <w:rsid w:val="00DD59D9"/>
    <w:rsid w:val="00DE712A"/>
    <w:rsid w:val="00E117BE"/>
    <w:rsid w:val="00E12E4E"/>
    <w:rsid w:val="00E20277"/>
    <w:rsid w:val="00E24346"/>
    <w:rsid w:val="00E254A0"/>
    <w:rsid w:val="00E301D7"/>
    <w:rsid w:val="00E95B83"/>
    <w:rsid w:val="00E95F9D"/>
    <w:rsid w:val="00EA3BC2"/>
    <w:rsid w:val="00EA46CE"/>
    <w:rsid w:val="00EA6D3B"/>
    <w:rsid w:val="00EB2669"/>
    <w:rsid w:val="00EB3245"/>
    <w:rsid w:val="00EC4227"/>
    <w:rsid w:val="00EE6CE2"/>
    <w:rsid w:val="00F004E0"/>
    <w:rsid w:val="00F01975"/>
    <w:rsid w:val="00F0203E"/>
    <w:rsid w:val="00F0354E"/>
    <w:rsid w:val="00F230F5"/>
    <w:rsid w:val="00F27F47"/>
    <w:rsid w:val="00F3267B"/>
    <w:rsid w:val="00F557F4"/>
    <w:rsid w:val="00F56801"/>
    <w:rsid w:val="00F57851"/>
    <w:rsid w:val="00F57E3B"/>
    <w:rsid w:val="00F679F0"/>
    <w:rsid w:val="00F72FF0"/>
    <w:rsid w:val="00F84477"/>
    <w:rsid w:val="00F9224A"/>
    <w:rsid w:val="00F938E8"/>
    <w:rsid w:val="00F95CEF"/>
    <w:rsid w:val="00FA62FB"/>
    <w:rsid w:val="00FB5A4B"/>
    <w:rsid w:val="00FD0143"/>
    <w:rsid w:val="00FD0EF2"/>
    <w:rsid w:val="00FD2AE3"/>
    <w:rsid w:val="00FD4E84"/>
    <w:rsid w:val="00FE2EF6"/>
    <w:rsid w:val="00FF1132"/>
    <w:rsid w:val="00FF24AA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5:chartTrackingRefBased/>
  <w15:docId w15:val="{1B5374AD-5EE7-446A-884E-8F5E73A4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1F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color w:val="008000"/>
      <w:sz w:val="96"/>
    </w:rPr>
  </w:style>
  <w:style w:type="paragraph" w:styleId="BodyText2">
    <w:name w:val="Body Text 2"/>
    <w:basedOn w:val="Normal"/>
    <w:semiHidden/>
    <w:rPr>
      <w:color w:val="FF000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53D5"/>
    <w:pPr>
      <w:ind w:left="720"/>
    </w:pPr>
  </w:style>
  <w:style w:type="paragraph" w:customStyle="1" w:styleId="Default">
    <w:name w:val="Default"/>
    <w:rsid w:val="006B5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NoList"/>
    <w:rsid w:val="00B74D28"/>
    <w:pPr>
      <w:numPr>
        <w:numId w:val="1"/>
      </w:numPr>
    </w:pPr>
  </w:style>
  <w:style w:type="table" w:styleId="TableGrid">
    <w:name w:val="Table Grid"/>
    <w:basedOn w:val="TableNormal"/>
    <w:uiPriority w:val="59"/>
    <w:rsid w:val="00483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5509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70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C1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70C1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0C1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C1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25756"/>
    <w:rPr>
      <w:rFonts w:ascii="Arial" w:hAnsi="Arial"/>
      <w:sz w:val="24"/>
      <w:lang w:eastAsia="en-US"/>
    </w:rPr>
  </w:style>
  <w:style w:type="paragraph" w:customStyle="1" w:styleId="Char">
    <w:name w:val="Char"/>
    <w:basedOn w:val="Normal"/>
    <w:rsid w:val="00FD0EF2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assistedareasmap.com/ie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North Lincs Council</Company>
  <LinksUpToDate>false</LinksUpToDate>
  <CharactersWithSpaces>5080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http://www.ukassistedareasmap.com/ieindex.html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Lacey Alison</cp:lastModifiedBy>
  <cp:revision>2</cp:revision>
  <cp:lastPrinted>2020-08-06T13:09:00Z</cp:lastPrinted>
  <dcterms:created xsi:type="dcterms:W3CDTF">2021-04-06T13:23:00Z</dcterms:created>
  <dcterms:modified xsi:type="dcterms:W3CDTF">2021-04-06T13:23:00Z</dcterms:modified>
</cp:coreProperties>
</file>